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4AD6" w14:textId="49D0ED15" w:rsidR="005309CD" w:rsidRPr="005309CD" w:rsidRDefault="005309CD" w:rsidP="005309CD">
      <w:pPr>
        <w:jc w:val="center"/>
        <w:rPr>
          <w:b/>
          <w:bCs/>
          <w:sz w:val="28"/>
          <w:szCs w:val="28"/>
        </w:rPr>
      </w:pPr>
      <w:bookmarkStart w:id="0" w:name="_Hlk44435719"/>
      <w:r w:rsidRPr="005309CD">
        <w:rPr>
          <w:b/>
          <w:bCs/>
          <w:sz w:val="28"/>
          <w:szCs w:val="28"/>
        </w:rPr>
        <w:t>Diploma in Urban Coop</w:t>
      </w:r>
      <w:r w:rsidR="00286398">
        <w:rPr>
          <w:b/>
          <w:bCs/>
          <w:sz w:val="28"/>
          <w:szCs w:val="28"/>
        </w:rPr>
        <w:t>erative</w:t>
      </w:r>
      <w:r w:rsidRPr="005309CD">
        <w:rPr>
          <w:b/>
          <w:bCs/>
          <w:sz w:val="28"/>
          <w:szCs w:val="28"/>
        </w:rPr>
        <w:t xml:space="preserve"> Banking</w:t>
      </w:r>
    </w:p>
    <w:p w14:paraId="01C7A1FB" w14:textId="45DB5BF1" w:rsidR="005309CD" w:rsidRPr="00037042" w:rsidRDefault="005309CD" w:rsidP="005309CD">
      <w:pPr>
        <w:pBdr>
          <w:top w:val="single" w:sz="4" w:space="1" w:color="auto"/>
          <w:left w:val="single" w:sz="4" w:space="4" w:color="auto"/>
          <w:bottom w:val="single" w:sz="4" w:space="1" w:color="auto"/>
          <w:right w:val="single" w:sz="4" w:space="4" w:color="auto"/>
        </w:pBdr>
        <w:spacing w:after="0" w:line="240" w:lineRule="auto"/>
        <w:ind w:left="340" w:right="340"/>
        <w:rPr>
          <w:rFonts w:cstheme="minorHAnsi"/>
          <w:b/>
          <w:bCs/>
          <w:sz w:val="28"/>
          <w:szCs w:val="28"/>
        </w:rPr>
      </w:pPr>
      <w:r w:rsidRPr="00037042">
        <w:rPr>
          <w:rFonts w:cstheme="minorHAnsi"/>
          <w:b/>
          <w:bCs/>
          <w:sz w:val="28"/>
          <w:szCs w:val="28"/>
        </w:rPr>
        <w:t>RBI</w:t>
      </w:r>
      <w:bookmarkStart w:id="1" w:name="_Hlk44506133"/>
      <w:r>
        <w:rPr>
          <w:rFonts w:cstheme="minorHAnsi"/>
          <w:b/>
          <w:bCs/>
          <w:sz w:val="28"/>
          <w:szCs w:val="28"/>
        </w:rPr>
        <w:t xml:space="preserve"> </w:t>
      </w:r>
      <w:r w:rsidRPr="00037042">
        <w:rPr>
          <w:rFonts w:cstheme="minorHAnsi"/>
          <w:b/>
          <w:bCs/>
          <w:sz w:val="28"/>
          <w:szCs w:val="28"/>
        </w:rPr>
        <w:t>Notifications during the period 1st January 2020 to 30th June 2020</w:t>
      </w:r>
    </w:p>
    <w:bookmarkEnd w:id="1"/>
    <w:p w14:paraId="629DD0A8" w14:textId="77777777" w:rsidR="005309CD" w:rsidRDefault="005309CD" w:rsidP="005309CD">
      <w:pPr>
        <w:spacing w:after="0" w:line="240" w:lineRule="auto"/>
        <w:jc w:val="both"/>
        <w:rPr>
          <w:rFonts w:ascii="Times New Roman" w:hAnsi="Times New Roman" w:cs="Times New Roman"/>
          <w:b/>
          <w:bCs/>
          <w:sz w:val="24"/>
          <w:szCs w:val="24"/>
        </w:rPr>
      </w:pPr>
    </w:p>
    <w:p w14:paraId="6B8923DC" w14:textId="77777777" w:rsidR="005309CD" w:rsidRDefault="005309CD" w:rsidP="005309CD">
      <w:pPr>
        <w:spacing w:after="0" w:line="240" w:lineRule="auto"/>
        <w:jc w:val="both"/>
        <w:rPr>
          <w:rFonts w:ascii="Times New Roman" w:hAnsi="Times New Roman" w:cs="Times New Roman"/>
          <w:b/>
          <w:bCs/>
          <w:sz w:val="24"/>
          <w:szCs w:val="24"/>
        </w:rPr>
      </w:pPr>
    </w:p>
    <w:p w14:paraId="0731A2C4"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Supervisory Action Framework for Primary (Urban) Co-operative Banks (UCBs)</w:t>
      </w:r>
    </w:p>
    <w:p w14:paraId="163DE5CA" w14:textId="77777777" w:rsidR="005309CD" w:rsidRPr="00C902C8" w:rsidRDefault="005309CD" w:rsidP="005309CD">
      <w:pPr>
        <w:spacing w:after="0" w:line="240" w:lineRule="auto"/>
        <w:jc w:val="both"/>
        <w:rPr>
          <w:rFonts w:ascii="Times New Roman" w:hAnsi="Times New Roman" w:cs="Times New Roman"/>
          <w:b/>
          <w:bCs/>
          <w:sz w:val="24"/>
          <w:szCs w:val="24"/>
        </w:rPr>
      </w:pPr>
    </w:p>
    <w:p w14:paraId="5FA52CC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RBI/2019-20/135 DOR (PCB).BPD. Cir No. 9/12.05.001/2019-20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5EB3C98C" w14:textId="77777777" w:rsidR="005309CD" w:rsidRPr="00C902C8" w:rsidRDefault="005309CD" w:rsidP="005309CD">
      <w:pPr>
        <w:spacing w:after="0" w:line="240" w:lineRule="auto"/>
        <w:jc w:val="both"/>
        <w:rPr>
          <w:rFonts w:ascii="Times New Roman" w:hAnsi="Times New Roman" w:cs="Times New Roman"/>
          <w:sz w:val="24"/>
          <w:szCs w:val="24"/>
        </w:rPr>
      </w:pPr>
    </w:p>
    <w:p w14:paraId="3247F85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Chief Executive Officer, All Primary (Urban) Co-operative Banks</w:t>
      </w:r>
    </w:p>
    <w:p w14:paraId="0E0F24CF" w14:textId="77777777" w:rsidR="005309CD" w:rsidRPr="00C902C8" w:rsidRDefault="005309CD" w:rsidP="005309CD">
      <w:pPr>
        <w:spacing w:after="0" w:line="240" w:lineRule="auto"/>
        <w:jc w:val="both"/>
        <w:rPr>
          <w:rFonts w:ascii="Times New Roman" w:hAnsi="Times New Roman" w:cs="Times New Roman"/>
          <w:sz w:val="24"/>
          <w:szCs w:val="24"/>
        </w:rPr>
      </w:pPr>
    </w:p>
    <w:p w14:paraId="7603CEB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UBD.BPD.(PCB). Cir No. 3/12.05.001/2014-15 dated November 27, 2014 on the captioned subject containing the Supervisory Action Framework (SAF) for UCBs. Keeping in view the experience gained, it has been decided to further rationalize the SAF to make it more effective in bringing about the desired improvement in the UCBs as also expeditious resolution of UCBs experiencing financial stress. Reserve Bank will continue to monitor asset quality, profitability and capital / net worth of UCBs under the revised SAF. The main features of the revised SAF are indicated herein below:</w:t>
      </w:r>
    </w:p>
    <w:p w14:paraId="0B1D7708" w14:textId="77777777" w:rsidR="005309CD" w:rsidRPr="00C902C8" w:rsidRDefault="005309CD" w:rsidP="005309CD">
      <w:pPr>
        <w:spacing w:after="0" w:line="240" w:lineRule="auto"/>
        <w:jc w:val="both"/>
        <w:rPr>
          <w:rFonts w:ascii="Times New Roman" w:hAnsi="Times New Roman" w:cs="Times New Roman"/>
          <w:sz w:val="24"/>
          <w:szCs w:val="24"/>
        </w:rPr>
      </w:pPr>
    </w:p>
    <w:p w14:paraId="046C24D5"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Thresholds/triggers and Supervisory Action</w:t>
      </w:r>
    </w:p>
    <w:p w14:paraId="43CDB853" w14:textId="77777777" w:rsidR="005309CD" w:rsidRPr="00C902C8" w:rsidRDefault="005309CD" w:rsidP="005309CD">
      <w:pPr>
        <w:spacing w:after="0" w:line="240" w:lineRule="auto"/>
        <w:jc w:val="both"/>
        <w:rPr>
          <w:rFonts w:ascii="Times New Roman" w:hAnsi="Times New Roman" w:cs="Times New Roman"/>
          <w:sz w:val="24"/>
          <w:szCs w:val="24"/>
        </w:rPr>
      </w:pPr>
    </w:p>
    <w:p w14:paraId="462523C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revised SAF envisages initiation of corrective action by the UCB and/or supervisory action by the Reserve Bank on breach of the specified thresholds (triggers) in respect of the specified financial parameters/indicators. The actions mentioned in the following paragraphs may be taken on breach of the specified thresholds.</w:t>
      </w:r>
    </w:p>
    <w:p w14:paraId="19DADBD8" w14:textId="77777777" w:rsidR="005309CD" w:rsidRPr="00C902C8" w:rsidRDefault="005309CD" w:rsidP="005309CD">
      <w:pPr>
        <w:spacing w:after="0" w:line="240" w:lineRule="auto"/>
        <w:jc w:val="both"/>
        <w:rPr>
          <w:rFonts w:ascii="Times New Roman" w:hAnsi="Times New Roman" w:cs="Times New Roman"/>
          <w:sz w:val="24"/>
          <w:szCs w:val="24"/>
        </w:rPr>
      </w:pPr>
    </w:p>
    <w:p w14:paraId="7C30B0A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2.1 Asset quality</w:t>
      </w:r>
      <w:r w:rsidRPr="00C902C8">
        <w:rPr>
          <w:rFonts w:ascii="Times New Roman" w:hAnsi="Times New Roman" w:cs="Times New Roman"/>
          <w:sz w:val="24"/>
          <w:szCs w:val="24"/>
        </w:rPr>
        <w:t>: A UCB may be placed under SAF when its Net NPAs exceed 6% of its net advances. Depending on the severity of stress, Reserve Bank may take one or more of the following actions:</w:t>
      </w:r>
    </w:p>
    <w:p w14:paraId="72F6DA6D" w14:textId="77777777" w:rsidR="005309CD" w:rsidRPr="00C902C8" w:rsidRDefault="005309CD" w:rsidP="005309CD">
      <w:pPr>
        <w:spacing w:after="0" w:line="240" w:lineRule="auto"/>
        <w:jc w:val="both"/>
        <w:rPr>
          <w:rFonts w:ascii="Times New Roman" w:hAnsi="Times New Roman" w:cs="Times New Roman"/>
          <w:sz w:val="24"/>
          <w:szCs w:val="24"/>
        </w:rPr>
      </w:pPr>
    </w:p>
    <w:p w14:paraId="032671ED"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UCB to submit a Board-approved Action Plan for reducing its Net NPAs below 6%</w:t>
      </w:r>
    </w:p>
    <w:p w14:paraId="74ED3AFB"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Board of Directors of the UCB to review the progress under the Action Plan on quarterly/monthly basis</w:t>
      </w:r>
    </w:p>
    <w:p w14:paraId="4BFC9DA1"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UCB to submit the post-review progress report to Reserve Bank</w:t>
      </w:r>
    </w:p>
    <w:p w14:paraId="3538105E"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declaration/payment of dividend/donation without prior approval of RBI</w:t>
      </w:r>
    </w:p>
    <w:p w14:paraId="42D8A8AF"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Curtailment of sanction/renewal of credit facilities to sectors/segments having high proportion of NPAs/defaults</w:t>
      </w:r>
    </w:p>
    <w:p w14:paraId="0CCC26CE"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Reduction in exposure limits for fresh loans and advances</w:t>
      </w:r>
    </w:p>
    <w:p w14:paraId="0EF96F87" w14:textId="77777777" w:rsidR="005309CD" w:rsidRPr="00C902C8" w:rsidRDefault="005309CD" w:rsidP="005309CD">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fresh loans and advances carrying risk-weights more than 100%</w:t>
      </w:r>
    </w:p>
    <w:p w14:paraId="1238347C" w14:textId="77777777" w:rsidR="005309CD" w:rsidRPr="00C902C8" w:rsidRDefault="005309CD" w:rsidP="005309CD">
      <w:pPr>
        <w:spacing w:after="0" w:line="240" w:lineRule="auto"/>
        <w:jc w:val="both"/>
        <w:rPr>
          <w:rFonts w:ascii="Times New Roman" w:hAnsi="Times New Roman" w:cs="Times New Roman"/>
          <w:sz w:val="24"/>
          <w:szCs w:val="24"/>
        </w:rPr>
      </w:pPr>
    </w:p>
    <w:p w14:paraId="1142337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2.2 Profitability</w:t>
      </w:r>
      <w:r w:rsidRPr="00C902C8">
        <w:rPr>
          <w:rFonts w:ascii="Times New Roman" w:hAnsi="Times New Roman" w:cs="Times New Roman"/>
          <w:sz w:val="24"/>
          <w:szCs w:val="24"/>
        </w:rPr>
        <w:t>: A UCB may be placed under SAF when it incurs losses for two consecutive financial years or has accumulated losses on its balance sheet. Depending on the severity of stress, Reserve Bank may take one or more of the following actions:</w:t>
      </w:r>
    </w:p>
    <w:p w14:paraId="33BE3653" w14:textId="77777777" w:rsidR="005309CD" w:rsidRPr="00C902C8" w:rsidRDefault="005309CD" w:rsidP="005309CD">
      <w:pPr>
        <w:spacing w:after="0" w:line="240" w:lineRule="auto"/>
        <w:jc w:val="both"/>
        <w:rPr>
          <w:rFonts w:ascii="Times New Roman" w:hAnsi="Times New Roman" w:cs="Times New Roman"/>
          <w:sz w:val="24"/>
          <w:szCs w:val="24"/>
        </w:rPr>
      </w:pPr>
    </w:p>
    <w:p w14:paraId="2336E7EB" w14:textId="77777777" w:rsidR="005309CD" w:rsidRPr="00C902C8" w:rsidRDefault="005309CD" w:rsidP="005309CD">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UCB to submit a Board-approved Action Plan for restoring the profitability and/or wiping out the accumulated losses</w:t>
      </w:r>
    </w:p>
    <w:p w14:paraId="0C6BED14" w14:textId="77777777" w:rsidR="005309CD" w:rsidRPr="00C902C8" w:rsidRDefault="005309CD" w:rsidP="005309CD">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Board of Directors of the UCB to review of progress under the Action Plan on quarterly (or more frequent) basis.</w:t>
      </w:r>
    </w:p>
    <w:p w14:paraId="2372CF6A" w14:textId="77777777" w:rsidR="005309CD" w:rsidRPr="00C902C8" w:rsidRDefault="005309CD" w:rsidP="005309CD">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Prohibition on declaration/payment of dividend/donation</w:t>
      </w:r>
    </w:p>
    <w:p w14:paraId="068BE35D" w14:textId="77777777" w:rsidR="005309CD" w:rsidRPr="00C902C8" w:rsidRDefault="005309CD" w:rsidP="005309CD">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Restriction on incurring capital expenditure beyond a specified limit, without prior approval of the Reserve Bank</w:t>
      </w:r>
    </w:p>
    <w:p w14:paraId="3F9E0FB2" w14:textId="77777777" w:rsidR="005309CD" w:rsidRPr="00C902C8" w:rsidRDefault="005309CD" w:rsidP="005309CD">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Measures for reduction in interest and operating/administrative expenses</w:t>
      </w:r>
    </w:p>
    <w:p w14:paraId="2DCD0040" w14:textId="77777777" w:rsidR="005309CD" w:rsidRPr="00C902C8" w:rsidRDefault="005309CD" w:rsidP="005309CD">
      <w:pPr>
        <w:spacing w:after="0" w:line="240" w:lineRule="auto"/>
        <w:jc w:val="both"/>
        <w:rPr>
          <w:rFonts w:ascii="Times New Roman" w:hAnsi="Times New Roman" w:cs="Times New Roman"/>
          <w:sz w:val="24"/>
          <w:szCs w:val="24"/>
        </w:rPr>
      </w:pPr>
    </w:p>
    <w:p w14:paraId="2C8F4FE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2.3 Capital to Risk-weighted Assets ratio (CRAR):</w:t>
      </w:r>
      <w:r w:rsidRPr="00C902C8">
        <w:rPr>
          <w:rFonts w:ascii="Times New Roman" w:hAnsi="Times New Roman" w:cs="Times New Roman"/>
          <w:sz w:val="24"/>
          <w:szCs w:val="24"/>
        </w:rPr>
        <w:t xml:space="preserve"> A UCB may be placed under SAF when its CRAR falls below 9%. Depending on the severity of stress, Reserve Bank may take one or more of the following actions:</w:t>
      </w:r>
    </w:p>
    <w:p w14:paraId="10F8EA52" w14:textId="77777777" w:rsidR="005309CD" w:rsidRPr="00C902C8" w:rsidRDefault="005309CD" w:rsidP="005309CD">
      <w:pPr>
        <w:spacing w:after="0" w:line="240" w:lineRule="auto"/>
        <w:jc w:val="both"/>
        <w:rPr>
          <w:rFonts w:ascii="Times New Roman" w:hAnsi="Times New Roman" w:cs="Times New Roman"/>
          <w:sz w:val="24"/>
          <w:szCs w:val="24"/>
        </w:rPr>
      </w:pPr>
    </w:p>
    <w:p w14:paraId="3842155F"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UCB to submit a Board-approved Action Plan for increasing the CRAR to 9% or above within 12 months</w:t>
      </w:r>
    </w:p>
    <w:p w14:paraId="5A3A9F39"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Advising the Board of Directors of the UCB to review the progress under the Action Plan on quarterly/monthly basis and submit the post-review progress report to Reserve Bank</w:t>
      </w:r>
    </w:p>
    <w:p w14:paraId="15FB3303"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Seeking a Board-approved proposal for merging the UCB with another bank or converting itself into a credit society</w:t>
      </w:r>
    </w:p>
    <w:p w14:paraId="60E0C3BE"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Prohibition on declaration/payment of dividend/donation</w:t>
      </w:r>
    </w:p>
    <w:p w14:paraId="29C23F12"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incurring capital expenditure beyond a specified limit, without prior approval of the Reserve Bank</w:t>
      </w:r>
    </w:p>
    <w:p w14:paraId="1BFA505C"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Measures for reduction in interest and operating/administrative expenses</w:t>
      </w:r>
    </w:p>
    <w:p w14:paraId="6CE9A373"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Reduction in exposure limits for fresh loans and advances</w:t>
      </w:r>
    </w:p>
    <w:p w14:paraId="5A305E4C"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fresh loans and advances carrying risk-weights beyond the specified limit</w:t>
      </w:r>
    </w:p>
    <w:p w14:paraId="0C9E7CA1"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expansion of size of the balance sheet</w:t>
      </w:r>
    </w:p>
    <w:p w14:paraId="371FD8FF"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Restriction on fresh borrowings, except for meeting temporary liquidity mismatches</w:t>
      </w:r>
    </w:p>
    <w:p w14:paraId="5BD4846E"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Prohibition on sanction/disbursal of fresh loans and advances other than loans against collateral security of term deposits / NSCs / KVPs / insurance policies</w:t>
      </w:r>
    </w:p>
    <w:p w14:paraId="02E948FB" w14:textId="77777777" w:rsidR="005309CD" w:rsidRPr="00C902C8" w:rsidRDefault="005309CD" w:rsidP="005309CD">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Prohibition on expansion of size of the deposits</w:t>
      </w:r>
    </w:p>
    <w:p w14:paraId="4AA17091" w14:textId="77777777" w:rsidR="005309CD" w:rsidRPr="00C902C8" w:rsidRDefault="005309CD" w:rsidP="005309CD">
      <w:pPr>
        <w:spacing w:after="0" w:line="240" w:lineRule="auto"/>
        <w:jc w:val="both"/>
        <w:rPr>
          <w:rFonts w:ascii="Times New Roman" w:hAnsi="Times New Roman" w:cs="Times New Roman"/>
          <w:sz w:val="24"/>
          <w:szCs w:val="24"/>
        </w:rPr>
      </w:pPr>
    </w:p>
    <w:p w14:paraId="2E684B0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2.4 Actions such as imposition of all-inclusive directions under section 35A of the Banking Regulation Act, 1949 (as applicable to co-operative societies) and issue of show cause notice for cancellation of banking license may be considered by the Reserve bank when continued normal functioning of the UCB is no longer considered to be in the interest of its depositors / public.</w:t>
      </w:r>
    </w:p>
    <w:p w14:paraId="72137960" w14:textId="77777777" w:rsidR="005309CD" w:rsidRPr="00C902C8" w:rsidRDefault="005309CD" w:rsidP="005309CD">
      <w:pPr>
        <w:spacing w:after="0" w:line="240" w:lineRule="auto"/>
        <w:jc w:val="both"/>
        <w:rPr>
          <w:rFonts w:ascii="Times New Roman" w:hAnsi="Times New Roman" w:cs="Times New Roman"/>
          <w:sz w:val="24"/>
          <w:szCs w:val="24"/>
        </w:rPr>
      </w:pPr>
    </w:p>
    <w:p w14:paraId="7024414C"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3. Implementation of the revised SAF</w:t>
      </w:r>
    </w:p>
    <w:p w14:paraId="39E9F054" w14:textId="77777777" w:rsidR="005309CD" w:rsidRPr="00C902C8" w:rsidRDefault="005309CD" w:rsidP="005309CD">
      <w:pPr>
        <w:spacing w:after="0" w:line="240" w:lineRule="auto"/>
        <w:jc w:val="both"/>
        <w:rPr>
          <w:rFonts w:ascii="Times New Roman" w:hAnsi="Times New Roman" w:cs="Times New Roman"/>
          <w:sz w:val="24"/>
          <w:szCs w:val="24"/>
        </w:rPr>
      </w:pPr>
    </w:p>
    <w:p w14:paraId="5EB599C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Supervisory action will normally be initiated on the basis of the financial position of UCBs as assessed during the statutory inspection. However, action may also be taken on the basis of the reported/audited financial position which may be subsequently reviewed, if necessary, on the basis of the statutory inspection findings.</w:t>
      </w:r>
    </w:p>
    <w:p w14:paraId="77D8A01C" w14:textId="77777777" w:rsidR="005309CD" w:rsidRPr="00C902C8" w:rsidRDefault="005309CD" w:rsidP="005309CD">
      <w:pPr>
        <w:spacing w:after="0" w:line="240" w:lineRule="auto"/>
        <w:jc w:val="both"/>
        <w:rPr>
          <w:rFonts w:ascii="Times New Roman" w:hAnsi="Times New Roman" w:cs="Times New Roman"/>
          <w:sz w:val="24"/>
          <w:szCs w:val="24"/>
        </w:rPr>
      </w:pPr>
    </w:p>
    <w:p w14:paraId="4C833CF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3.2 Although supervisory action taken will primarily be based on the criteria specified under the revised SAF, Reserve Bank will not be precluded from taking appropriate supervisory action in case stress is noticed in other important indicators/parameters or in case of serious governance issues. Reserve Bank will also not be precluded from taking any supervisory actions other than those indicated in this circular, based on merits of each case.</w:t>
      </w:r>
    </w:p>
    <w:p w14:paraId="61C5E39B" w14:textId="77777777" w:rsidR="005309CD" w:rsidRPr="00C902C8" w:rsidRDefault="005309CD" w:rsidP="005309CD">
      <w:pPr>
        <w:spacing w:after="0" w:line="240" w:lineRule="auto"/>
        <w:jc w:val="both"/>
        <w:rPr>
          <w:rFonts w:ascii="Times New Roman" w:hAnsi="Times New Roman" w:cs="Times New Roman"/>
          <w:sz w:val="24"/>
          <w:szCs w:val="24"/>
        </w:rPr>
      </w:pPr>
    </w:p>
    <w:p w14:paraId="7FB9AD63"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3.3 The revised SAF will be implemented with immediate effect. Supervisory action already taken under the earlier SAF will be reviewed and revised instructions, if any, will be issued to the UCBs concerned.</w:t>
      </w:r>
    </w:p>
    <w:p w14:paraId="113DA761" w14:textId="77777777" w:rsidR="005309CD" w:rsidRPr="00C902C8" w:rsidRDefault="005309CD" w:rsidP="005309CD">
      <w:pPr>
        <w:spacing w:after="0" w:line="240" w:lineRule="auto"/>
        <w:jc w:val="both"/>
        <w:rPr>
          <w:rFonts w:ascii="Times New Roman" w:hAnsi="Times New Roman" w:cs="Times New Roman"/>
          <w:sz w:val="24"/>
          <w:szCs w:val="24"/>
        </w:rPr>
      </w:pPr>
    </w:p>
    <w:p w14:paraId="054AE3D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 copy of this circular should be placed before the Board of Directors of your bank in its next meeting and a confirmation thereof should be sent to the concerned Regional Office of Department of Supervision of Reserve Bank of India.</w:t>
      </w:r>
    </w:p>
    <w:p w14:paraId="2512AFE1"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58F2143E" w14:textId="77777777" w:rsidR="005309CD" w:rsidRPr="00C902C8" w:rsidRDefault="005309CD" w:rsidP="005309CD">
      <w:pPr>
        <w:spacing w:after="0" w:line="240" w:lineRule="auto"/>
        <w:jc w:val="both"/>
        <w:rPr>
          <w:rFonts w:ascii="Times New Roman" w:hAnsi="Times New Roman" w:cs="Times New Roman"/>
          <w:sz w:val="24"/>
          <w:szCs w:val="24"/>
        </w:rPr>
      </w:pPr>
    </w:p>
    <w:p w14:paraId="42445116" w14:textId="77777777" w:rsidR="005309CD" w:rsidRDefault="005309CD" w:rsidP="005309CD">
      <w:pPr>
        <w:spacing w:after="0" w:line="240" w:lineRule="auto"/>
        <w:jc w:val="both"/>
        <w:rPr>
          <w:rFonts w:ascii="Times New Roman" w:hAnsi="Times New Roman" w:cs="Times New Roman"/>
          <w:b/>
          <w:bCs/>
          <w:sz w:val="24"/>
          <w:szCs w:val="24"/>
        </w:rPr>
      </w:pPr>
    </w:p>
    <w:p w14:paraId="51E7886A"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Provisioning on interbank exposure of Primary (Urban) Co-operative Banks (UCBs) under All Inclusive Directions</w:t>
      </w:r>
    </w:p>
    <w:p w14:paraId="3A693907" w14:textId="77777777" w:rsidR="005309CD" w:rsidRPr="00C902C8" w:rsidRDefault="005309CD" w:rsidP="005309CD">
      <w:pPr>
        <w:spacing w:after="0" w:line="240" w:lineRule="auto"/>
        <w:jc w:val="both"/>
        <w:rPr>
          <w:rFonts w:ascii="Times New Roman" w:hAnsi="Times New Roman" w:cs="Times New Roman"/>
          <w:b/>
          <w:bCs/>
          <w:sz w:val="24"/>
          <w:szCs w:val="24"/>
        </w:rPr>
      </w:pPr>
    </w:p>
    <w:p w14:paraId="71BD984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RBI/2019-20/222 DOR.(PCB).BPD.Cir.No.11/16.20.000/2019-20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1188F594" w14:textId="77777777" w:rsidR="005309CD" w:rsidRPr="00C902C8" w:rsidRDefault="005309CD" w:rsidP="005309CD">
      <w:pPr>
        <w:spacing w:after="0" w:line="240" w:lineRule="auto"/>
        <w:jc w:val="both"/>
        <w:rPr>
          <w:rFonts w:ascii="Times New Roman" w:hAnsi="Times New Roman" w:cs="Times New Roman"/>
          <w:sz w:val="24"/>
          <w:szCs w:val="24"/>
        </w:rPr>
      </w:pPr>
    </w:p>
    <w:p w14:paraId="4E41F16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Chief Executive Officer</w:t>
      </w:r>
    </w:p>
    <w:p w14:paraId="52D5DC1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Primary (Urban) Co-operative Banks</w:t>
      </w:r>
    </w:p>
    <w:p w14:paraId="71688377" w14:textId="77777777" w:rsidR="005309CD" w:rsidRPr="00C902C8" w:rsidRDefault="005309CD" w:rsidP="005309CD">
      <w:pPr>
        <w:spacing w:after="0" w:line="240" w:lineRule="auto"/>
        <w:jc w:val="both"/>
        <w:rPr>
          <w:rFonts w:ascii="Times New Roman" w:hAnsi="Times New Roman" w:cs="Times New Roman"/>
          <w:sz w:val="24"/>
          <w:szCs w:val="24"/>
        </w:rPr>
      </w:pPr>
    </w:p>
    <w:p w14:paraId="51885FC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As you are aware, the imposition of All-inclusive Directions (AID) on an Urban Co-operative Bank (UCB), inter alia, restricts the bank from discharging its liabilities except as permitted by RBI. This impacts the withdrawal of interbank deposits placed by other UCBs with such bank as also timely discharge of interbank exposures such as discounted bills drawn under Letter of Credit (LC) issued by the UCB under AID.</w:t>
      </w:r>
    </w:p>
    <w:p w14:paraId="77CEE600" w14:textId="77777777" w:rsidR="005309CD" w:rsidRPr="00C902C8" w:rsidRDefault="005309CD" w:rsidP="005309CD">
      <w:pPr>
        <w:spacing w:after="0" w:line="240" w:lineRule="auto"/>
        <w:jc w:val="both"/>
        <w:rPr>
          <w:rFonts w:ascii="Times New Roman" w:hAnsi="Times New Roman" w:cs="Times New Roman"/>
          <w:sz w:val="24"/>
          <w:szCs w:val="24"/>
        </w:rPr>
      </w:pPr>
    </w:p>
    <w:p w14:paraId="575A7B3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order to ensure that such exposures are objectively recognised in the financial statements of UCBs and also with a view to addressing the systemic impact of provisioning requirements on such exposures, it has been decided as under:</w:t>
      </w:r>
    </w:p>
    <w:p w14:paraId="4536F36F" w14:textId="77777777" w:rsidR="005309CD" w:rsidRPr="00C902C8" w:rsidRDefault="005309CD" w:rsidP="005309CD">
      <w:pPr>
        <w:spacing w:after="0" w:line="240" w:lineRule="auto"/>
        <w:jc w:val="both"/>
        <w:rPr>
          <w:rFonts w:ascii="Times New Roman" w:hAnsi="Times New Roman" w:cs="Times New Roman"/>
          <w:sz w:val="24"/>
          <w:szCs w:val="24"/>
        </w:rPr>
      </w:pPr>
    </w:p>
    <w:p w14:paraId="6825B11A" w14:textId="77777777" w:rsidR="005309CD" w:rsidRPr="00C902C8" w:rsidRDefault="005309CD" w:rsidP="005309CD">
      <w:pPr>
        <w:pStyle w:val="ListParagraph"/>
        <w:numPr>
          <w:ilvl w:val="0"/>
          <w:numId w:val="4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interbank exposures arising from deposits placed by UCBs with a UCB under AID and their non-performing exposures arising from discounted bills drawn under LCs issued by a UCB under AID shall be fully provided within five years at the rate of 20% annually. Further, the interest receivable on the deposits shall not be recognised as income by the UCBs.</w:t>
      </w:r>
    </w:p>
    <w:p w14:paraId="0908331A" w14:textId="77777777" w:rsidR="005309CD" w:rsidRPr="00C902C8" w:rsidRDefault="005309CD" w:rsidP="005309CD">
      <w:pPr>
        <w:spacing w:after="0" w:line="240" w:lineRule="auto"/>
        <w:jc w:val="both"/>
        <w:rPr>
          <w:rFonts w:ascii="Times New Roman" w:hAnsi="Times New Roman" w:cs="Times New Roman"/>
          <w:sz w:val="24"/>
          <w:szCs w:val="24"/>
        </w:rPr>
      </w:pPr>
    </w:p>
    <w:p w14:paraId="1A9D1B34" w14:textId="77777777" w:rsidR="005309CD" w:rsidRPr="00C902C8" w:rsidRDefault="005309CD" w:rsidP="005309CD">
      <w:pPr>
        <w:pStyle w:val="ListParagraph"/>
        <w:numPr>
          <w:ilvl w:val="0"/>
          <w:numId w:val="4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If the UCBs choose to convert such deposits into long term perpetual debt instruments (e.g. Innovative Perpetual Debt Instrument - IPDI) which may be recognised as capital instrument under a scheme of restructuring/ revival of a UCB under AID, provision on the portion of deposits converted into such instruments shall not be required.</w:t>
      </w:r>
    </w:p>
    <w:p w14:paraId="18295A8E" w14:textId="77777777" w:rsidR="005309CD" w:rsidRPr="00C902C8" w:rsidRDefault="005309CD" w:rsidP="005309CD">
      <w:pPr>
        <w:spacing w:after="0" w:line="240" w:lineRule="auto"/>
        <w:jc w:val="both"/>
        <w:rPr>
          <w:rFonts w:ascii="Times New Roman" w:hAnsi="Times New Roman" w:cs="Times New Roman"/>
          <w:sz w:val="24"/>
          <w:szCs w:val="24"/>
        </w:rPr>
      </w:pPr>
    </w:p>
    <w:p w14:paraId="0583CA1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above instructions will come into force with immediate effect.</w:t>
      </w:r>
    </w:p>
    <w:p w14:paraId="2BEB7E70"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045E5220" w14:textId="77777777" w:rsidR="005309CD" w:rsidRPr="00C902C8" w:rsidRDefault="005309CD" w:rsidP="005309CD">
      <w:pPr>
        <w:spacing w:after="0" w:line="240" w:lineRule="auto"/>
        <w:jc w:val="both"/>
        <w:rPr>
          <w:rFonts w:ascii="Times New Roman" w:hAnsi="Times New Roman" w:cs="Times New Roman"/>
          <w:sz w:val="24"/>
          <w:szCs w:val="24"/>
        </w:rPr>
      </w:pPr>
    </w:p>
    <w:p w14:paraId="6BFA6A95" w14:textId="77777777" w:rsidR="005309CD" w:rsidRDefault="005309CD" w:rsidP="005309CD">
      <w:pPr>
        <w:spacing w:after="0" w:line="240" w:lineRule="auto"/>
        <w:jc w:val="both"/>
        <w:rPr>
          <w:rFonts w:ascii="Times New Roman" w:hAnsi="Times New Roman" w:cs="Times New Roman"/>
          <w:b/>
          <w:bCs/>
          <w:sz w:val="24"/>
          <w:szCs w:val="24"/>
        </w:rPr>
      </w:pPr>
    </w:p>
    <w:p w14:paraId="00D7B8F7"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Non-achievement of Priority Sector Lending Targets by Primary (Urban) Co-operative Banks (UCBs) - Contribution to the Rural Infrastructure Development Fund (RIDF) and other funds</w:t>
      </w:r>
    </w:p>
    <w:p w14:paraId="6EDF7F52" w14:textId="77777777" w:rsidR="005309CD" w:rsidRPr="00C902C8" w:rsidRDefault="005309CD" w:rsidP="005309CD">
      <w:pPr>
        <w:spacing w:after="0" w:line="240" w:lineRule="auto"/>
        <w:jc w:val="both"/>
        <w:rPr>
          <w:rFonts w:ascii="Times New Roman" w:hAnsi="Times New Roman" w:cs="Times New Roman"/>
          <w:b/>
          <w:bCs/>
          <w:sz w:val="24"/>
          <w:szCs w:val="24"/>
        </w:rPr>
      </w:pPr>
    </w:p>
    <w:p w14:paraId="0F24515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RBI/2019-20/226 DOR (PCB).BPD.Cir.No.12/09.09.002/2019-20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24, 2020</w:t>
      </w:r>
    </w:p>
    <w:p w14:paraId="7F517934" w14:textId="77777777" w:rsidR="005309CD" w:rsidRPr="00C902C8" w:rsidRDefault="005309CD" w:rsidP="005309CD">
      <w:pPr>
        <w:spacing w:after="0" w:line="240" w:lineRule="auto"/>
        <w:jc w:val="both"/>
        <w:rPr>
          <w:rFonts w:ascii="Times New Roman" w:hAnsi="Times New Roman" w:cs="Times New Roman"/>
          <w:sz w:val="24"/>
          <w:szCs w:val="24"/>
        </w:rPr>
      </w:pPr>
    </w:p>
    <w:p w14:paraId="73A3B0B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Chief Executive Officer</w:t>
      </w:r>
    </w:p>
    <w:p w14:paraId="69BFE50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Primary (Urban) Co-operative Banks</w:t>
      </w:r>
    </w:p>
    <w:p w14:paraId="01C30BF4" w14:textId="77777777" w:rsidR="005309CD" w:rsidRPr="00C902C8" w:rsidRDefault="005309CD" w:rsidP="005309CD">
      <w:pPr>
        <w:spacing w:after="0" w:line="240" w:lineRule="auto"/>
        <w:jc w:val="both"/>
        <w:rPr>
          <w:rFonts w:ascii="Times New Roman" w:hAnsi="Times New Roman" w:cs="Times New Roman"/>
          <w:sz w:val="24"/>
          <w:szCs w:val="24"/>
        </w:rPr>
      </w:pPr>
    </w:p>
    <w:p w14:paraId="32AE362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Please refer to the circular DCBR.BPD (PCB).Cir.No.07/09.09.002/2017-18 dated May 10, 2018 on Revised Guidelines on Lending to Priority Sector for Primary (Urban) Co-operative Banks (UCBs).</w:t>
      </w:r>
    </w:p>
    <w:p w14:paraId="60605DF2" w14:textId="77777777" w:rsidR="005309CD" w:rsidRPr="00C902C8" w:rsidRDefault="005309CD" w:rsidP="005309CD">
      <w:pPr>
        <w:spacing w:after="0" w:line="240" w:lineRule="auto"/>
        <w:jc w:val="both"/>
        <w:rPr>
          <w:rFonts w:ascii="Times New Roman" w:hAnsi="Times New Roman" w:cs="Times New Roman"/>
          <w:sz w:val="24"/>
          <w:szCs w:val="24"/>
        </w:rPr>
      </w:pPr>
    </w:p>
    <w:p w14:paraId="6C00ED5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of the extant guidelines, it has been decided that, with effect from March 31, 2021, all UCBs (excluding those under all-inclusive directions) will be required to contribute to Rural Infrastructure Development Fund (RIDF) established with NABARD and other Funds with NABARD / NHB / SIDBI / MUDRA Ltd., against their priority sector lending (PSL) shortfall vis-à-vis the prescribed target. The operational details in this regard are as under:</w:t>
      </w:r>
    </w:p>
    <w:p w14:paraId="7A9E4067" w14:textId="77777777" w:rsidR="005309CD" w:rsidRPr="00C902C8" w:rsidRDefault="005309CD" w:rsidP="005309CD">
      <w:pPr>
        <w:spacing w:after="0" w:line="240" w:lineRule="auto"/>
        <w:jc w:val="both"/>
        <w:rPr>
          <w:rFonts w:ascii="Times New Roman" w:hAnsi="Times New Roman" w:cs="Times New Roman"/>
          <w:sz w:val="24"/>
          <w:szCs w:val="24"/>
        </w:rPr>
      </w:pPr>
    </w:p>
    <w:p w14:paraId="24199DF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PSL achievement will be determined at the end of the financial year based on the average of priority sector target / sub-target achievement as at the end of each quarter of the year. UCBs (excluding those under all-inclusive directions) having shortfall in PSL lending targets will be allocated amounts for contribution to the Rural Infrastructure Development Fund (RIDF) established with NABARD and other relevant funds, as decided by the Reserve Bank from time to time.</w:t>
      </w:r>
    </w:p>
    <w:p w14:paraId="05CCD709" w14:textId="77777777" w:rsidR="005309CD" w:rsidRPr="00C902C8" w:rsidRDefault="005309CD" w:rsidP="005309CD">
      <w:pPr>
        <w:spacing w:after="0" w:line="240" w:lineRule="auto"/>
        <w:jc w:val="both"/>
        <w:rPr>
          <w:rFonts w:ascii="Times New Roman" w:hAnsi="Times New Roman" w:cs="Times New Roman"/>
          <w:sz w:val="24"/>
          <w:szCs w:val="24"/>
        </w:rPr>
      </w:pPr>
    </w:p>
    <w:p w14:paraId="1E62156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interest rates on UCBs’ contribution to RIDF and other funds, tenure of deposits, etc. will be fixed by Reserve Bank of India from time to time.</w:t>
      </w:r>
    </w:p>
    <w:p w14:paraId="33DB5BBF" w14:textId="77777777" w:rsidR="005309CD" w:rsidRPr="00C902C8" w:rsidRDefault="005309CD" w:rsidP="005309CD">
      <w:pPr>
        <w:spacing w:after="0" w:line="240" w:lineRule="auto"/>
        <w:jc w:val="both"/>
        <w:rPr>
          <w:rFonts w:ascii="Times New Roman" w:hAnsi="Times New Roman" w:cs="Times New Roman"/>
          <w:sz w:val="24"/>
          <w:szCs w:val="24"/>
        </w:rPr>
      </w:pPr>
    </w:p>
    <w:p w14:paraId="015B6DA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misclassifications reported by the Reserve Bank's Department of Supervision, if any, would be adjusted / reduced from the achievement of that year to which the amount of declassification / misclassification pertains, for allocation to various funds in subsequent years.</w:t>
      </w:r>
    </w:p>
    <w:p w14:paraId="2B8978A8" w14:textId="77777777" w:rsidR="005309CD" w:rsidRPr="00C902C8" w:rsidRDefault="005309CD" w:rsidP="005309CD">
      <w:pPr>
        <w:spacing w:after="0" w:line="240" w:lineRule="auto"/>
        <w:jc w:val="both"/>
        <w:rPr>
          <w:rFonts w:ascii="Times New Roman" w:hAnsi="Times New Roman" w:cs="Times New Roman"/>
          <w:sz w:val="24"/>
          <w:szCs w:val="24"/>
        </w:rPr>
      </w:pPr>
    </w:p>
    <w:p w14:paraId="53E67D3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It has also been decided that, non-achievement of PSL targets will not be included as one of the criteria for classifying a UCB as Financially Sound and Well Managed (FSWM) with effect from March 31, 2021. However, it will continue to be taken into account while granting regulatory clearances/approvals for various purposes.</w:t>
      </w:r>
    </w:p>
    <w:p w14:paraId="4C5F0840" w14:textId="77777777" w:rsidR="005309CD" w:rsidRPr="00C902C8" w:rsidRDefault="005309CD" w:rsidP="005309CD">
      <w:pPr>
        <w:spacing w:after="0" w:line="240" w:lineRule="auto"/>
        <w:jc w:val="both"/>
        <w:rPr>
          <w:rFonts w:ascii="Times New Roman" w:hAnsi="Times New Roman" w:cs="Times New Roman"/>
          <w:sz w:val="24"/>
          <w:szCs w:val="24"/>
        </w:rPr>
      </w:pPr>
    </w:p>
    <w:p w14:paraId="74CC703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 copy of this circular should be placed before the Board of Directors of your bank in its next meeting and a confirmation thereof should be sent to the concerned Regional Office of Department of Supervision of Reserve Bank of India.</w:t>
      </w:r>
    </w:p>
    <w:p w14:paraId="61FAD110"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00F3D685" w14:textId="77777777" w:rsidR="005309CD" w:rsidRDefault="005309CD" w:rsidP="005309CD">
      <w:pPr>
        <w:spacing w:after="0" w:line="240" w:lineRule="auto"/>
        <w:jc w:val="both"/>
        <w:rPr>
          <w:rFonts w:ascii="Times New Roman" w:hAnsi="Times New Roman" w:cs="Times New Roman"/>
          <w:b/>
          <w:bCs/>
          <w:sz w:val="24"/>
          <w:szCs w:val="24"/>
        </w:rPr>
      </w:pPr>
    </w:p>
    <w:p w14:paraId="21A1F196" w14:textId="196CE0AC"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of Large Exposures to Central Repository of Information on Large Credits (CRILC) – UCBs</w:t>
      </w:r>
    </w:p>
    <w:p w14:paraId="5CBDD617" w14:textId="77777777" w:rsidR="005309CD" w:rsidRPr="00C902C8" w:rsidRDefault="005309CD" w:rsidP="005309CD">
      <w:pPr>
        <w:spacing w:after="0" w:line="240" w:lineRule="auto"/>
        <w:jc w:val="both"/>
        <w:rPr>
          <w:rFonts w:ascii="Times New Roman" w:hAnsi="Times New Roman" w:cs="Times New Roman"/>
          <w:b/>
          <w:bCs/>
          <w:sz w:val="24"/>
          <w:szCs w:val="24"/>
        </w:rPr>
      </w:pPr>
    </w:p>
    <w:p w14:paraId="79CB1EF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RBI/2019-20/144 DoS.OSMOS.No.4633/33.05.018/2019-20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16, 2020</w:t>
      </w:r>
    </w:p>
    <w:p w14:paraId="006F2E04" w14:textId="77777777" w:rsidR="005309CD" w:rsidRPr="00C902C8" w:rsidRDefault="005309CD" w:rsidP="005309CD">
      <w:pPr>
        <w:spacing w:after="0" w:line="240" w:lineRule="auto"/>
        <w:jc w:val="both"/>
        <w:rPr>
          <w:rFonts w:ascii="Times New Roman" w:hAnsi="Times New Roman" w:cs="Times New Roman"/>
          <w:sz w:val="24"/>
          <w:szCs w:val="24"/>
        </w:rPr>
      </w:pPr>
    </w:p>
    <w:p w14:paraId="44450BE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Primary (Urban) Co-operative Banks</w:t>
      </w:r>
    </w:p>
    <w:p w14:paraId="27E7269E" w14:textId="77777777" w:rsidR="005309CD" w:rsidRPr="00C902C8" w:rsidRDefault="005309CD" w:rsidP="005309CD">
      <w:pPr>
        <w:spacing w:after="0" w:line="240" w:lineRule="auto"/>
        <w:jc w:val="both"/>
        <w:rPr>
          <w:rFonts w:ascii="Times New Roman" w:hAnsi="Times New Roman" w:cs="Times New Roman"/>
          <w:sz w:val="24"/>
          <w:szCs w:val="24"/>
        </w:rPr>
      </w:pPr>
    </w:p>
    <w:p w14:paraId="69C13E1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We draw your attention to RBI Circular DOR (PCB). BPD.Cir.No.7/13.05.000/2019-20 dated December 27, 2019 on "Reporting of Large Exposures to Central Repository of Information on Large Credits (CRILC) - UCBs". In terms of the instructions, Primary (Urban) Co-operative Banks (UCBs) having total assets of ₹500 crore and above as on 31st March of the previous financial year (hereinafter referred to as “banks”) shall report credit information, including classification of an account as Special Mention Account (SMA), on all borrowers having aggregate exposures of ₹5 crore and above with them to Central Repository of Information on Large Credits (CRILC) maintained by the Reserve Bank. Aggregate exposure shall include all fund-based and non-fund based exposure, including investment exposure on the borrower.</w:t>
      </w:r>
    </w:p>
    <w:p w14:paraId="35779ECB" w14:textId="77777777" w:rsidR="005309CD" w:rsidRPr="00C902C8" w:rsidRDefault="005309CD" w:rsidP="005309CD">
      <w:pPr>
        <w:spacing w:after="0" w:line="240" w:lineRule="auto"/>
        <w:jc w:val="both"/>
        <w:rPr>
          <w:rFonts w:ascii="Times New Roman" w:hAnsi="Times New Roman" w:cs="Times New Roman"/>
          <w:sz w:val="24"/>
          <w:szCs w:val="24"/>
        </w:rPr>
      </w:pPr>
    </w:p>
    <w:p w14:paraId="4913B28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operational guidelines for reporting the CRILC– UCBs return are as follows:</w:t>
      </w:r>
    </w:p>
    <w:p w14:paraId="13B5BF24" w14:textId="77777777" w:rsidR="005309CD" w:rsidRPr="00C902C8" w:rsidRDefault="005309CD" w:rsidP="005309CD">
      <w:pPr>
        <w:spacing w:after="0" w:line="240" w:lineRule="auto"/>
        <w:jc w:val="both"/>
        <w:rPr>
          <w:rFonts w:ascii="Times New Roman" w:hAnsi="Times New Roman" w:cs="Times New Roman"/>
          <w:sz w:val="24"/>
          <w:szCs w:val="24"/>
        </w:rPr>
      </w:pPr>
    </w:p>
    <w:p w14:paraId="3E727B7B" w14:textId="77777777" w:rsidR="005309CD" w:rsidRPr="00C902C8" w:rsidRDefault="005309CD" w:rsidP="005309CD">
      <w:pPr>
        <w:pStyle w:val="ListParagraph"/>
        <w:numPr>
          <w:ilvl w:val="0"/>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reporting frequency of the CRILC– UCBs return is quarterly to start with. The banks need to submit the data on large exposures within 30 days from the end of the quarter through XBRL reporting platform of RBI. Banks may put in place appropriate systems to be in readiness to submit the return on a more frequent periodicity.</w:t>
      </w:r>
    </w:p>
    <w:p w14:paraId="48F7E863" w14:textId="77777777" w:rsidR="005309CD" w:rsidRPr="00C902C8" w:rsidRDefault="005309CD" w:rsidP="005309CD">
      <w:pPr>
        <w:spacing w:after="0" w:line="240" w:lineRule="auto"/>
        <w:jc w:val="both"/>
        <w:rPr>
          <w:rFonts w:ascii="Times New Roman" w:hAnsi="Times New Roman" w:cs="Times New Roman"/>
          <w:sz w:val="24"/>
          <w:szCs w:val="24"/>
        </w:rPr>
      </w:pPr>
    </w:p>
    <w:p w14:paraId="699AFB79" w14:textId="77777777" w:rsidR="005309CD" w:rsidRPr="00C902C8" w:rsidRDefault="005309CD" w:rsidP="005309CD">
      <w:pPr>
        <w:pStyle w:val="ListParagraph"/>
        <w:numPr>
          <w:ilvl w:val="0"/>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CRILC – UCBs return will comprise of three sections viz. Section 1: Exposure to Large Borrowers, Section 2: Reporting of Technically / Prudentially Written-off Accounts and Section 3: Reporting of Balance in Current Account, as below:</w:t>
      </w:r>
    </w:p>
    <w:p w14:paraId="79AE452B" w14:textId="77777777" w:rsidR="005309CD" w:rsidRPr="00C902C8" w:rsidRDefault="005309CD" w:rsidP="005309CD">
      <w:pPr>
        <w:spacing w:after="0" w:line="240" w:lineRule="auto"/>
        <w:jc w:val="both"/>
        <w:rPr>
          <w:rFonts w:ascii="Times New Roman" w:hAnsi="Times New Roman" w:cs="Times New Roman"/>
          <w:sz w:val="24"/>
          <w:szCs w:val="24"/>
        </w:rPr>
      </w:pPr>
    </w:p>
    <w:p w14:paraId="2DA07843" w14:textId="77777777" w:rsidR="005309CD" w:rsidRPr="00C902C8" w:rsidRDefault="005309CD" w:rsidP="005309CD">
      <w:pPr>
        <w:pStyle w:val="ListParagraph"/>
        <w:numPr>
          <w:ilvl w:val="1"/>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Section 1: Exposure to Large Borrowers, the bank needs to report the credit information of all borrowers having aggregate exposures (fund-based, non-fund based and investment exposure) of ₹5 crore and above.</w:t>
      </w:r>
    </w:p>
    <w:p w14:paraId="00325CB7" w14:textId="77777777" w:rsidR="005309CD" w:rsidRPr="00C902C8" w:rsidRDefault="005309CD" w:rsidP="005309CD">
      <w:pPr>
        <w:pStyle w:val="ListParagraph"/>
        <w:numPr>
          <w:ilvl w:val="1"/>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Section 2: Reporting of Technically / Prudentially Written-off Accounts, the bank needs to report the data on the amount written off, if any, for borrowers whose technically/prudentially written off amount is ₹5 crore or more and which are not reported in Section 1.</w:t>
      </w:r>
    </w:p>
    <w:p w14:paraId="271B78B4" w14:textId="77777777" w:rsidR="005309CD" w:rsidRPr="00C902C8" w:rsidRDefault="005309CD" w:rsidP="005309CD">
      <w:pPr>
        <w:pStyle w:val="ListParagraph"/>
        <w:numPr>
          <w:ilvl w:val="1"/>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Section 3: Reporting of balance in Current Account, the bank needs to report the data on Current Account holders whose (i) balance (either credit or debit) in current account as on reporting date is ₹1 crore and above or (ii) total of credit summation (sum of all credit transactions) during the reporting quarter is ₹5 crore and above or (iii) total of debit summation (sum of all debit transactions) during the reporting quarter is ₹5 crore and above.</w:t>
      </w:r>
    </w:p>
    <w:p w14:paraId="63F248E9" w14:textId="77777777" w:rsidR="005309CD" w:rsidRPr="00C902C8" w:rsidRDefault="005309CD" w:rsidP="005309CD">
      <w:pPr>
        <w:pStyle w:val="ListParagraph"/>
        <w:spacing w:after="0" w:line="240" w:lineRule="auto"/>
        <w:ind w:left="1440"/>
        <w:jc w:val="both"/>
        <w:rPr>
          <w:rFonts w:ascii="Times New Roman" w:hAnsi="Times New Roman" w:cs="Times New Roman"/>
          <w:sz w:val="24"/>
          <w:szCs w:val="24"/>
        </w:rPr>
      </w:pPr>
    </w:p>
    <w:p w14:paraId="60E411B9" w14:textId="77777777" w:rsidR="005309CD" w:rsidRPr="00C902C8" w:rsidRDefault="005309CD" w:rsidP="005309CD">
      <w:pPr>
        <w:pStyle w:val="ListParagraph"/>
        <w:numPr>
          <w:ilvl w:val="0"/>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detailed instructions for each Section is provided in the CRILC-UCBs return installer (macro enabled excel template).</w:t>
      </w:r>
    </w:p>
    <w:p w14:paraId="2888C272" w14:textId="77777777" w:rsidR="005309CD" w:rsidRPr="00C902C8" w:rsidRDefault="005309CD" w:rsidP="005309CD">
      <w:pPr>
        <w:spacing w:after="0" w:line="240" w:lineRule="auto"/>
        <w:jc w:val="both"/>
        <w:rPr>
          <w:rFonts w:ascii="Times New Roman" w:hAnsi="Times New Roman" w:cs="Times New Roman"/>
          <w:sz w:val="24"/>
          <w:szCs w:val="24"/>
        </w:rPr>
      </w:pPr>
    </w:p>
    <w:p w14:paraId="219859E5" w14:textId="77777777" w:rsidR="005309CD" w:rsidRPr="00C902C8" w:rsidRDefault="005309CD" w:rsidP="005309CD">
      <w:pPr>
        <w:pStyle w:val="ListParagraph"/>
        <w:numPr>
          <w:ilvl w:val="0"/>
          <w:numId w:val="2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take utmost care about data accuracy and integrity while submitting the data on large credits to the Reserve Bank of India, failing which penal action would be undertaken.</w:t>
      </w:r>
    </w:p>
    <w:p w14:paraId="6CBD6ECB" w14:textId="77777777" w:rsidR="005309CD" w:rsidRPr="00C902C8" w:rsidRDefault="005309CD" w:rsidP="005309CD">
      <w:pPr>
        <w:spacing w:after="0" w:line="240" w:lineRule="auto"/>
        <w:jc w:val="both"/>
        <w:rPr>
          <w:rFonts w:ascii="Times New Roman" w:hAnsi="Times New Roman" w:cs="Times New Roman"/>
          <w:sz w:val="24"/>
          <w:szCs w:val="24"/>
        </w:rPr>
      </w:pPr>
    </w:p>
    <w:p w14:paraId="3A506253"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the light of DoR instructions referred above and in exercise of the powers conferred under Section 27 (2) read with Section 56 (a)(i) of the Banking Regulation Act, 1949(AACS), you are advised to submit the data in CRILC-UCBs return with effect from the quarter ended December 31, 2019. The format of reporting is enclosed.</w:t>
      </w:r>
    </w:p>
    <w:p w14:paraId="38D8D84E"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71EEED1E" w14:textId="77777777" w:rsidR="005309CD" w:rsidRPr="00C902C8" w:rsidRDefault="005309CD" w:rsidP="005309CD">
      <w:pPr>
        <w:spacing w:after="0" w:line="240" w:lineRule="auto"/>
        <w:jc w:val="both"/>
        <w:rPr>
          <w:rFonts w:ascii="Times New Roman" w:hAnsi="Times New Roman" w:cs="Times New Roman"/>
          <w:sz w:val="24"/>
          <w:szCs w:val="24"/>
        </w:rPr>
      </w:pPr>
    </w:p>
    <w:p w14:paraId="3E234E0C" w14:textId="77777777" w:rsidR="005309CD" w:rsidRDefault="005309CD" w:rsidP="005309CD">
      <w:pPr>
        <w:spacing w:after="0" w:line="240" w:lineRule="auto"/>
        <w:jc w:val="both"/>
        <w:rPr>
          <w:rFonts w:ascii="Times New Roman" w:hAnsi="Times New Roman" w:cs="Times New Roman"/>
          <w:b/>
          <w:bCs/>
          <w:sz w:val="24"/>
          <w:szCs w:val="24"/>
        </w:rPr>
      </w:pPr>
    </w:p>
    <w:p w14:paraId="6B760ACF"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Limits on exposure to single and group borrowers/parties and large exposures and Revision in the target for priority sector lending – UCBs</w:t>
      </w:r>
    </w:p>
    <w:p w14:paraId="2A8988FB" w14:textId="77777777" w:rsidR="005309CD" w:rsidRPr="00C902C8" w:rsidRDefault="005309CD" w:rsidP="005309CD">
      <w:pPr>
        <w:spacing w:after="0" w:line="240" w:lineRule="auto"/>
        <w:jc w:val="both"/>
        <w:rPr>
          <w:rFonts w:ascii="Times New Roman" w:hAnsi="Times New Roman" w:cs="Times New Roman"/>
          <w:b/>
          <w:bCs/>
          <w:sz w:val="24"/>
          <w:szCs w:val="24"/>
        </w:rPr>
      </w:pPr>
    </w:p>
    <w:p w14:paraId="7958E0A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RBI/2019-20/171 DOR (PCB).BPD.Cir No.10/13.05.000/2019-20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13, 2020</w:t>
      </w:r>
    </w:p>
    <w:p w14:paraId="61AFF801" w14:textId="77777777" w:rsidR="005309CD" w:rsidRPr="00C902C8" w:rsidRDefault="005309CD" w:rsidP="005309CD">
      <w:pPr>
        <w:spacing w:after="0" w:line="240" w:lineRule="auto"/>
        <w:jc w:val="both"/>
        <w:rPr>
          <w:rFonts w:ascii="Times New Roman" w:hAnsi="Times New Roman" w:cs="Times New Roman"/>
          <w:sz w:val="24"/>
          <w:szCs w:val="24"/>
        </w:rPr>
      </w:pPr>
    </w:p>
    <w:p w14:paraId="36CA302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Chief Executive Officer</w:t>
      </w:r>
    </w:p>
    <w:p w14:paraId="05A72B2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Primary (Urban) Co-operative Banks</w:t>
      </w:r>
    </w:p>
    <w:p w14:paraId="79304EB6" w14:textId="77777777" w:rsidR="005309CD" w:rsidRPr="00C902C8" w:rsidRDefault="005309CD" w:rsidP="005309CD">
      <w:pPr>
        <w:spacing w:after="0" w:line="240" w:lineRule="auto"/>
        <w:jc w:val="both"/>
        <w:rPr>
          <w:rFonts w:ascii="Times New Roman" w:hAnsi="Times New Roman" w:cs="Times New Roman"/>
          <w:sz w:val="24"/>
          <w:szCs w:val="24"/>
        </w:rPr>
      </w:pPr>
    </w:p>
    <w:p w14:paraId="4D48958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Limits on exposure to single and group borrowers/parties and large exposures and Revision in the target for priority sector lending – UCBs</w:t>
      </w:r>
    </w:p>
    <w:p w14:paraId="749C333A" w14:textId="77777777" w:rsidR="005309CD" w:rsidRPr="00C902C8" w:rsidRDefault="005309CD" w:rsidP="005309CD">
      <w:pPr>
        <w:spacing w:after="0" w:line="240" w:lineRule="auto"/>
        <w:jc w:val="both"/>
        <w:rPr>
          <w:rFonts w:ascii="Times New Roman" w:hAnsi="Times New Roman" w:cs="Times New Roman"/>
          <w:sz w:val="24"/>
          <w:szCs w:val="24"/>
        </w:rPr>
      </w:pPr>
    </w:p>
    <w:p w14:paraId="27662F3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paragraph 1 of the Statement on Developmental and Regulatory Policies dated December 5, 2019 (extract enclosed) and the subsequent draft circular on the subject issued on the RBI website, vide Press Release 2019-2020/1541 dated December 30, 2019, for eliciting comments from the stakeholders. After examining the comments received in this regard, the final guidelines on the subject are given below.</w:t>
      </w:r>
    </w:p>
    <w:p w14:paraId="162DD6E7" w14:textId="77777777" w:rsidR="005309CD" w:rsidRPr="00C902C8" w:rsidRDefault="005309CD" w:rsidP="005309CD">
      <w:pPr>
        <w:spacing w:after="0" w:line="240" w:lineRule="auto"/>
        <w:jc w:val="both"/>
        <w:rPr>
          <w:rFonts w:ascii="Times New Roman" w:hAnsi="Times New Roman" w:cs="Times New Roman"/>
          <w:sz w:val="24"/>
          <w:szCs w:val="24"/>
        </w:rPr>
      </w:pPr>
    </w:p>
    <w:p w14:paraId="779A1CCE"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Prudential Exposure Limits</w:t>
      </w:r>
    </w:p>
    <w:p w14:paraId="6E4FF036" w14:textId="77777777" w:rsidR="005309CD" w:rsidRPr="00C902C8" w:rsidRDefault="005309CD" w:rsidP="005309CD">
      <w:pPr>
        <w:spacing w:after="0" w:line="240" w:lineRule="auto"/>
        <w:jc w:val="both"/>
        <w:rPr>
          <w:rFonts w:ascii="Times New Roman" w:hAnsi="Times New Roman" w:cs="Times New Roman"/>
          <w:sz w:val="24"/>
          <w:szCs w:val="24"/>
        </w:rPr>
      </w:pPr>
    </w:p>
    <w:p w14:paraId="0BBF3EA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our circular UBD.DS. Cir.No.44/13.05.00/2004-05 dated April 15, 2005, Primary (Urban) Co-operative Banks (UCBs) were permitted to have exposures up to 15 per cent and 40 per cent of their capital funds to a single borrower and a group of borrowers, respectively. On a review, it has been decided that, henceforth, the prudential exposure limits for UCBs for a single borrower/party and a group of connected borrowers/parties shall be 15 per cent and 25 per cent, respectively, of their tier-I capital.</w:t>
      </w:r>
    </w:p>
    <w:p w14:paraId="42D464D0" w14:textId="77777777" w:rsidR="005309CD" w:rsidRPr="00C902C8" w:rsidRDefault="005309CD" w:rsidP="005309CD">
      <w:pPr>
        <w:spacing w:after="0" w:line="240" w:lineRule="auto"/>
        <w:jc w:val="both"/>
        <w:rPr>
          <w:rFonts w:ascii="Times New Roman" w:hAnsi="Times New Roman" w:cs="Times New Roman"/>
          <w:sz w:val="24"/>
          <w:szCs w:val="24"/>
        </w:rPr>
      </w:pPr>
    </w:p>
    <w:p w14:paraId="692C63F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2.1.1 The revised exposure limits shall apply to all types of fresh exposures taken by UCBs. UCBs shall bring down their existing exposures which are in excess of the revised limits to within the aforesaid revised limits by March 31, 2023. However, where the existing exposure comprises only term loans and non-fund-based facilities, while no further exposure shall be taken on such borrowers, these facilities may be allowed to continue as per their respective repayment schedule / till maturity.</w:t>
      </w:r>
    </w:p>
    <w:p w14:paraId="6703E3DA" w14:textId="77777777" w:rsidR="005309CD" w:rsidRPr="00C902C8" w:rsidRDefault="005309CD" w:rsidP="005309CD">
      <w:pPr>
        <w:spacing w:after="0" w:line="240" w:lineRule="auto"/>
        <w:jc w:val="both"/>
        <w:rPr>
          <w:rFonts w:ascii="Times New Roman" w:hAnsi="Times New Roman" w:cs="Times New Roman"/>
          <w:sz w:val="24"/>
          <w:szCs w:val="24"/>
        </w:rPr>
      </w:pPr>
    </w:p>
    <w:p w14:paraId="1B491C5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2.1.2 Tier-I capital as on March 31 of the preceding financial year shall be reckoned for the purpose of fixing the exposure limits. Tier-I capital for the purpose will be the same as that prescribed for computation of capital adequacy of UCBs (vide Master Circular dated July 1, 2015 on Prudential Norms on Capital Adequacy), as amended from time to time.</w:t>
      </w:r>
    </w:p>
    <w:p w14:paraId="5ED09F33" w14:textId="77777777" w:rsidR="005309CD" w:rsidRPr="00C902C8" w:rsidRDefault="005309CD" w:rsidP="005309CD">
      <w:pPr>
        <w:spacing w:after="0" w:line="240" w:lineRule="auto"/>
        <w:jc w:val="both"/>
        <w:rPr>
          <w:rFonts w:ascii="Times New Roman" w:hAnsi="Times New Roman" w:cs="Times New Roman"/>
          <w:sz w:val="24"/>
          <w:szCs w:val="24"/>
        </w:rPr>
      </w:pPr>
    </w:p>
    <w:p w14:paraId="04785BD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2.1.3 Whether borrowers/parties belong to a ‘group of connected borrowers/parties’ shall be determined based on the instructions contained at para 2.2.3 and 2.2.4 of the Master Circular DCBR.CO.BPD. (PCB) MC No.13/13.05.000/2015-16 dated July 1, 2015, as amended from time to time.</w:t>
      </w:r>
    </w:p>
    <w:p w14:paraId="1867372C" w14:textId="77777777" w:rsidR="005309CD" w:rsidRPr="00C902C8" w:rsidRDefault="005309CD" w:rsidP="005309CD">
      <w:pPr>
        <w:spacing w:after="0" w:line="240" w:lineRule="auto"/>
        <w:jc w:val="both"/>
        <w:rPr>
          <w:rFonts w:ascii="Times New Roman" w:hAnsi="Times New Roman" w:cs="Times New Roman"/>
          <w:sz w:val="24"/>
          <w:szCs w:val="24"/>
        </w:rPr>
      </w:pPr>
    </w:p>
    <w:p w14:paraId="4ABC491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2.1.4 All other extant instructions on the subject, including the definition of exposure, will remain unchanged.</w:t>
      </w:r>
    </w:p>
    <w:p w14:paraId="344C8A03" w14:textId="77777777" w:rsidR="005309CD" w:rsidRPr="00C902C8" w:rsidRDefault="005309CD" w:rsidP="005309CD">
      <w:pPr>
        <w:spacing w:after="0" w:line="240" w:lineRule="auto"/>
        <w:jc w:val="both"/>
        <w:rPr>
          <w:rFonts w:ascii="Times New Roman" w:hAnsi="Times New Roman" w:cs="Times New Roman"/>
          <w:sz w:val="24"/>
          <w:szCs w:val="24"/>
        </w:rPr>
      </w:pPr>
    </w:p>
    <w:p w14:paraId="775777B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2.2 UCBs shall have at least 50 per cent of their aggregate loans and advances comprising loans of not more than ₹25 lakh or 0.2% of their tier I capital, whichever is higher, subject to a maximum of Rs.1 crore, per borrower/party. Tier I capital for this purpose shall be reckoned in the manner provided in paragraph 2.1.2 above. Notwithstanding the above, UCBs shall adhere to the revised exposure limits stipulated at para 2.1 above. UCBs which do not, at present, comply with the prescribed threshold shall be in conformity with the above requirements by March 31, 2024.</w:t>
      </w:r>
    </w:p>
    <w:p w14:paraId="7197C300" w14:textId="77777777" w:rsidR="005309CD" w:rsidRPr="00C902C8" w:rsidRDefault="005309CD" w:rsidP="005309CD">
      <w:pPr>
        <w:spacing w:after="0" w:line="240" w:lineRule="auto"/>
        <w:jc w:val="both"/>
        <w:rPr>
          <w:rFonts w:ascii="Times New Roman" w:hAnsi="Times New Roman" w:cs="Times New Roman"/>
          <w:sz w:val="24"/>
          <w:szCs w:val="24"/>
        </w:rPr>
      </w:pPr>
    </w:p>
    <w:p w14:paraId="6620C106" w14:textId="7F35FF15" w:rsidR="005309CD"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2.2.1 It is clarified that ‘loans’ for the purpose shall include all types of funded and non-funded exposures in the nature of credit.</w:t>
      </w:r>
    </w:p>
    <w:p w14:paraId="5587D5B8" w14:textId="571ECEE1" w:rsidR="00286398" w:rsidRDefault="00286398" w:rsidP="005309CD">
      <w:pPr>
        <w:spacing w:after="0" w:line="240" w:lineRule="auto"/>
        <w:jc w:val="both"/>
        <w:rPr>
          <w:rFonts w:ascii="Times New Roman" w:hAnsi="Times New Roman" w:cs="Times New Roman"/>
          <w:sz w:val="24"/>
          <w:szCs w:val="24"/>
        </w:rPr>
      </w:pPr>
    </w:p>
    <w:p w14:paraId="53F3822D" w14:textId="3FD5DC87" w:rsidR="00286398" w:rsidRDefault="00286398" w:rsidP="005309CD">
      <w:pPr>
        <w:spacing w:after="0" w:line="240" w:lineRule="auto"/>
        <w:jc w:val="both"/>
        <w:rPr>
          <w:rFonts w:ascii="Times New Roman" w:hAnsi="Times New Roman" w:cs="Times New Roman"/>
          <w:sz w:val="24"/>
          <w:szCs w:val="24"/>
        </w:rPr>
      </w:pPr>
    </w:p>
    <w:p w14:paraId="0A79FB44" w14:textId="77777777" w:rsidR="00286398" w:rsidRPr="00C902C8" w:rsidRDefault="00286398" w:rsidP="005309CD">
      <w:pPr>
        <w:spacing w:after="0" w:line="240" w:lineRule="auto"/>
        <w:jc w:val="both"/>
        <w:rPr>
          <w:rFonts w:ascii="Times New Roman" w:hAnsi="Times New Roman" w:cs="Times New Roman"/>
          <w:sz w:val="24"/>
          <w:szCs w:val="24"/>
        </w:rPr>
      </w:pPr>
    </w:p>
    <w:p w14:paraId="1199DDEC" w14:textId="77777777" w:rsidR="005309CD" w:rsidRPr="00C902C8" w:rsidRDefault="005309CD" w:rsidP="005309CD">
      <w:pPr>
        <w:spacing w:after="0" w:line="240" w:lineRule="auto"/>
        <w:jc w:val="both"/>
        <w:rPr>
          <w:rFonts w:ascii="Times New Roman" w:hAnsi="Times New Roman" w:cs="Times New Roman"/>
          <w:sz w:val="24"/>
          <w:szCs w:val="24"/>
        </w:rPr>
      </w:pPr>
    </w:p>
    <w:p w14:paraId="56E358EF"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3. Revised Priority Sector Lending Target</w:t>
      </w:r>
    </w:p>
    <w:p w14:paraId="6AD7BD7C" w14:textId="77777777" w:rsidR="005309CD" w:rsidRPr="00C902C8" w:rsidRDefault="005309CD" w:rsidP="005309CD">
      <w:pPr>
        <w:spacing w:after="0" w:line="240" w:lineRule="auto"/>
        <w:jc w:val="both"/>
        <w:rPr>
          <w:rFonts w:ascii="Times New Roman" w:hAnsi="Times New Roman" w:cs="Times New Roman"/>
          <w:sz w:val="24"/>
          <w:szCs w:val="24"/>
        </w:rPr>
      </w:pPr>
    </w:p>
    <w:p w14:paraId="718D372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In terms of the circular DCBR.BPD (PCB).Cir.No.07/09.09.002/2017-18 dated May 10, 2018, the overall priority sector lending (PSL) target for UCBs stood at 40% of the adjusted net bank credit (ANBC) or credit equivalent amount of off-balance sheet exposure (CEOBSE), whichever is higher. On a review, it has been decided that the overall PSL target for UCBs shall stand increased to 75 per cent of ANBC or CEOBSE, whichever is higher.</w:t>
      </w:r>
    </w:p>
    <w:p w14:paraId="5188DB35" w14:textId="77777777" w:rsidR="005309CD" w:rsidRPr="00C902C8" w:rsidRDefault="005309CD" w:rsidP="005309CD">
      <w:pPr>
        <w:spacing w:after="0" w:line="240" w:lineRule="auto"/>
        <w:jc w:val="both"/>
        <w:rPr>
          <w:rFonts w:ascii="Times New Roman" w:hAnsi="Times New Roman" w:cs="Times New Roman"/>
          <w:sz w:val="24"/>
          <w:szCs w:val="24"/>
        </w:rPr>
      </w:pPr>
    </w:p>
    <w:p w14:paraId="0A4E6197"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3.1.1 UCBs shall comply with the above target by </w:t>
      </w:r>
      <w:r w:rsidRPr="00C902C8">
        <w:rPr>
          <w:rFonts w:ascii="Times New Roman" w:eastAsia="Times New Roman" w:hAnsi="Times New Roman" w:cs="Times New Roman"/>
          <w:color w:val="000000"/>
          <w:sz w:val="24"/>
          <w:szCs w:val="24"/>
          <w:u w:val="single"/>
          <w:lang w:eastAsia="en-IN"/>
        </w:rPr>
        <w:t>March 31, 2024</w:t>
      </w:r>
      <w:r w:rsidRPr="00C902C8">
        <w:rPr>
          <w:rFonts w:ascii="Times New Roman" w:eastAsia="Times New Roman" w:hAnsi="Times New Roman" w:cs="Times New Roman"/>
          <w:color w:val="000000"/>
          <w:sz w:val="24"/>
          <w:szCs w:val="24"/>
          <w:lang w:eastAsia="en-IN"/>
        </w:rPr>
        <w:t> as per the following milestones:</w:t>
      </w:r>
    </w:p>
    <w:p w14:paraId="7C028F74"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8"/>
        <w:gridCol w:w="2028"/>
        <w:gridCol w:w="2029"/>
        <w:gridCol w:w="2029"/>
      </w:tblGrid>
      <w:tr w:rsidR="005309CD" w:rsidRPr="00C902C8" w14:paraId="6BAF126B" w14:textId="77777777" w:rsidTr="00286398">
        <w:trPr>
          <w:trHeight w:val="454"/>
          <w:jc w:val="center"/>
        </w:trPr>
        <w:tc>
          <w:tcPr>
            <w:tcW w:w="0" w:type="auto"/>
            <w:gridSpan w:val="4"/>
            <w:tcMar>
              <w:top w:w="0" w:type="dxa"/>
              <w:left w:w="45" w:type="dxa"/>
              <w:bottom w:w="0" w:type="dxa"/>
              <w:right w:w="45" w:type="dxa"/>
            </w:tcMar>
            <w:vAlign w:val="center"/>
            <w:hideMark/>
          </w:tcPr>
          <w:p w14:paraId="09465EC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PSL targets to be achieved by</w:t>
            </w:r>
          </w:p>
        </w:tc>
      </w:tr>
      <w:tr w:rsidR="005309CD" w:rsidRPr="00C902C8" w14:paraId="0C6373F4" w14:textId="77777777" w:rsidTr="00286398">
        <w:trPr>
          <w:trHeight w:val="454"/>
          <w:jc w:val="center"/>
        </w:trPr>
        <w:tc>
          <w:tcPr>
            <w:tcW w:w="1250" w:type="pct"/>
            <w:tcMar>
              <w:top w:w="0" w:type="dxa"/>
              <w:left w:w="45" w:type="dxa"/>
              <w:bottom w:w="0" w:type="dxa"/>
              <w:right w:w="45" w:type="dxa"/>
            </w:tcMar>
            <w:vAlign w:val="center"/>
            <w:hideMark/>
          </w:tcPr>
          <w:p w14:paraId="36628510"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March 31, 2021</w:t>
            </w:r>
          </w:p>
        </w:tc>
        <w:tc>
          <w:tcPr>
            <w:tcW w:w="1250" w:type="pct"/>
            <w:tcMar>
              <w:top w:w="0" w:type="dxa"/>
              <w:left w:w="45" w:type="dxa"/>
              <w:bottom w:w="0" w:type="dxa"/>
              <w:right w:w="45" w:type="dxa"/>
            </w:tcMar>
            <w:vAlign w:val="center"/>
            <w:hideMark/>
          </w:tcPr>
          <w:p w14:paraId="7C9789C1"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March 31, 2022</w:t>
            </w:r>
          </w:p>
        </w:tc>
        <w:tc>
          <w:tcPr>
            <w:tcW w:w="1250" w:type="pct"/>
            <w:tcMar>
              <w:top w:w="0" w:type="dxa"/>
              <w:left w:w="45" w:type="dxa"/>
              <w:bottom w:w="0" w:type="dxa"/>
              <w:right w:w="45" w:type="dxa"/>
            </w:tcMar>
            <w:vAlign w:val="center"/>
            <w:hideMark/>
          </w:tcPr>
          <w:p w14:paraId="5C8CB43D"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March 31, 2023</w:t>
            </w:r>
          </w:p>
        </w:tc>
        <w:tc>
          <w:tcPr>
            <w:tcW w:w="1250" w:type="pct"/>
            <w:tcMar>
              <w:top w:w="0" w:type="dxa"/>
              <w:left w:w="45" w:type="dxa"/>
              <w:bottom w:w="0" w:type="dxa"/>
              <w:right w:w="45" w:type="dxa"/>
            </w:tcMar>
            <w:vAlign w:val="center"/>
            <w:hideMark/>
          </w:tcPr>
          <w:p w14:paraId="1CEB5D35"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March 31, 2024</w:t>
            </w:r>
          </w:p>
        </w:tc>
      </w:tr>
      <w:tr w:rsidR="005309CD" w:rsidRPr="00C902C8" w14:paraId="633F905C" w14:textId="77777777" w:rsidTr="00286398">
        <w:trPr>
          <w:trHeight w:val="454"/>
          <w:jc w:val="center"/>
        </w:trPr>
        <w:tc>
          <w:tcPr>
            <w:tcW w:w="0" w:type="auto"/>
            <w:tcMar>
              <w:top w:w="0" w:type="dxa"/>
              <w:left w:w="45" w:type="dxa"/>
              <w:bottom w:w="0" w:type="dxa"/>
              <w:right w:w="45" w:type="dxa"/>
            </w:tcMar>
            <w:hideMark/>
          </w:tcPr>
          <w:p w14:paraId="5E6405DF"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45% of ANBC or CEOBSE, whichever is higher</w:t>
            </w:r>
          </w:p>
        </w:tc>
        <w:tc>
          <w:tcPr>
            <w:tcW w:w="0" w:type="auto"/>
            <w:tcMar>
              <w:top w:w="0" w:type="dxa"/>
              <w:left w:w="45" w:type="dxa"/>
              <w:bottom w:w="0" w:type="dxa"/>
              <w:right w:w="45" w:type="dxa"/>
            </w:tcMar>
            <w:hideMark/>
          </w:tcPr>
          <w:p w14:paraId="3E4218A0"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50% of ANBC or CEOBSE, whichever is higher</w:t>
            </w:r>
          </w:p>
        </w:tc>
        <w:tc>
          <w:tcPr>
            <w:tcW w:w="0" w:type="auto"/>
            <w:tcMar>
              <w:top w:w="0" w:type="dxa"/>
              <w:left w:w="45" w:type="dxa"/>
              <w:bottom w:w="0" w:type="dxa"/>
              <w:right w:w="45" w:type="dxa"/>
            </w:tcMar>
            <w:hideMark/>
          </w:tcPr>
          <w:p w14:paraId="08B77916"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60% of ANBC or CEOBSE, whichever is higher</w:t>
            </w:r>
          </w:p>
        </w:tc>
        <w:tc>
          <w:tcPr>
            <w:tcW w:w="0" w:type="auto"/>
            <w:tcMar>
              <w:top w:w="0" w:type="dxa"/>
              <w:left w:w="45" w:type="dxa"/>
              <w:bottom w:w="0" w:type="dxa"/>
              <w:right w:w="45" w:type="dxa"/>
            </w:tcMar>
            <w:hideMark/>
          </w:tcPr>
          <w:p w14:paraId="01ACF4FF"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75% of ANBC or CEOBSE, whichever is higher</w:t>
            </w:r>
          </w:p>
        </w:tc>
      </w:tr>
    </w:tbl>
    <w:p w14:paraId="1891FC55"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38A0A5E"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3.1.2 The extant sub-targets under the priority sector shall remain unchanged.</w:t>
      </w:r>
    </w:p>
    <w:p w14:paraId="51BC888C"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8CF38E0"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UCBs shall prepare, with the approval of their Board, an Action Plan for compliance with the aforesaid revised exposure limits and priority sector lending targets. They are also advised to establish an appropriate mechanism to regularly monitor the progress made under the Action Plan for compliance with the above instructions.</w:t>
      </w:r>
    </w:p>
    <w:p w14:paraId="50C5D74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0E143FE"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A copy of this circular should be placed before the Board of Directors of the UCB in its next meeting and a confirmation thereof should be sent to the concerned Regional Office of Department of Supervision, Reserve Bank of India.</w:t>
      </w:r>
    </w:p>
    <w:p w14:paraId="6CFA48C1" w14:textId="77777777" w:rsidR="005309CD" w:rsidRPr="00C902C8" w:rsidRDefault="005309CD" w:rsidP="005309CD">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C5FA04"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0503150" w14:textId="77777777" w:rsidR="005309CD" w:rsidRDefault="005309CD" w:rsidP="005309CD">
      <w:pPr>
        <w:spacing w:after="0" w:line="240" w:lineRule="auto"/>
        <w:jc w:val="both"/>
        <w:rPr>
          <w:rFonts w:ascii="Times New Roman" w:hAnsi="Times New Roman" w:cs="Times New Roman"/>
          <w:b/>
          <w:bCs/>
          <w:sz w:val="24"/>
          <w:szCs w:val="24"/>
        </w:rPr>
      </w:pPr>
    </w:p>
    <w:p w14:paraId="1F8083D6"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204E5DF2" w14:textId="77777777" w:rsidR="005309CD" w:rsidRPr="00C902C8" w:rsidRDefault="005309CD" w:rsidP="005309CD">
      <w:pPr>
        <w:spacing w:after="0" w:line="240" w:lineRule="auto"/>
        <w:jc w:val="both"/>
        <w:rPr>
          <w:rFonts w:ascii="Times New Roman" w:hAnsi="Times New Roman" w:cs="Times New Roman"/>
          <w:b/>
          <w:bCs/>
          <w:sz w:val="24"/>
          <w:szCs w:val="24"/>
        </w:rPr>
      </w:pPr>
    </w:p>
    <w:p w14:paraId="7976CD6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DOR.AML.BC.No.27/14.01.001/2019-20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5DB3B77F" w14:textId="77777777" w:rsidR="005309CD" w:rsidRPr="00C902C8" w:rsidRDefault="005309CD" w:rsidP="005309CD">
      <w:pPr>
        <w:spacing w:after="0" w:line="240" w:lineRule="auto"/>
        <w:jc w:val="both"/>
        <w:rPr>
          <w:rFonts w:ascii="Times New Roman" w:hAnsi="Times New Roman" w:cs="Times New Roman"/>
          <w:sz w:val="24"/>
          <w:szCs w:val="24"/>
        </w:rPr>
      </w:pPr>
    </w:p>
    <w:p w14:paraId="5293685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7C17A0D5" w14:textId="77777777" w:rsidR="005309CD" w:rsidRPr="00C902C8" w:rsidRDefault="005309CD" w:rsidP="005309CD">
      <w:pPr>
        <w:spacing w:after="0" w:line="240" w:lineRule="auto"/>
        <w:jc w:val="both"/>
        <w:rPr>
          <w:rFonts w:ascii="Times New Roman" w:hAnsi="Times New Roman" w:cs="Times New Roman"/>
          <w:sz w:val="24"/>
          <w:szCs w:val="24"/>
        </w:rPr>
      </w:pPr>
    </w:p>
    <w:p w14:paraId="3181FE8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582(E) dated August 19, 2019 and Gazette Notification G.S.R. 840(E) dated November 13, 2019, has notified amendment to the Prevention of Money-laundering (Maintenance of Records) Rules, 2005. Further, with a view to leveraging the digital channels for Customer Identification Process (CIP) by Regulated Entities (REs), the Reserve Bank has decided to permit Video based Customer Identification Process (V-CIP) as a consent based alternate method of establishing the customer’s identity, for customer onboarding.</w:t>
      </w:r>
    </w:p>
    <w:p w14:paraId="630EFB60" w14:textId="77777777" w:rsidR="005309CD" w:rsidRPr="00C902C8" w:rsidRDefault="005309CD" w:rsidP="005309CD">
      <w:pPr>
        <w:spacing w:after="0" w:line="240" w:lineRule="auto"/>
        <w:jc w:val="both"/>
        <w:rPr>
          <w:rFonts w:ascii="Times New Roman" w:hAnsi="Times New Roman" w:cs="Times New Roman"/>
          <w:sz w:val="24"/>
          <w:szCs w:val="24"/>
        </w:rPr>
      </w:pPr>
    </w:p>
    <w:p w14:paraId="50CE8CC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consequent changes carried out in the Master Direction on KYC dated February 25, 2016, with the aforementioned amendments to the PML Rules and V-CIP are as under:</w:t>
      </w:r>
    </w:p>
    <w:p w14:paraId="1EFAC41F" w14:textId="04A9197A" w:rsidR="005309CD" w:rsidRDefault="005309CD" w:rsidP="005309CD">
      <w:pPr>
        <w:spacing w:after="0" w:line="240" w:lineRule="auto"/>
        <w:jc w:val="both"/>
        <w:rPr>
          <w:rFonts w:ascii="Times New Roman" w:hAnsi="Times New Roman" w:cs="Times New Roman"/>
          <w:sz w:val="24"/>
          <w:szCs w:val="24"/>
        </w:rPr>
      </w:pPr>
    </w:p>
    <w:p w14:paraId="66431284" w14:textId="77777777" w:rsidR="00286398" w:rsidRPr="00C902C8" w:rsidRDefault="00286398" w:rsidP="005309CD">
      <w:pPr>
        <w:spacing w:after="0" w:line="240" w:lineRule="auto"/>
        <w:jc w:val="both"/>
        <w:rPr>
          <w:rFonts w:ascii="Times New Roman" w:hAnsi="Times New Roman" w:cs="Times New Roman"/>
          <w:sz w:val="24"/>
          <w:szCs w:val="24"/>
        </w:rPr>
      </w:pPr>
    </w:p>
    <w:p w14:paraId="1542A458"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A. Changes due to amendments to the PML Rules</w:t>
      </w:r>
    </w:p>
    <w:p w14:paraId="38A77798" w14:textId="77777777" w:rsidR="005309CD" w:rsidRPr="00C902C8" w:rsidRDefault="005309CD" w:rsidP="005309CD">
      <w:pPr>
        <w:spacing w:after="0" w:line="240" w:lineRule="auto"/>
        <w:jc w:val="both"/>
        <w:rPr>
          <w:rFonts w:ascii="Times New Roman" w:hAnsi="Times New Roman" w:cs="Times New Roman"/>
          <w:sz w:val="24"/>
          <w:szCs w:val="24"/>
        </w:rPr>
      </w:pPr>
    </w:p>
    <w:p w14:paraId="0BA3E1D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291B532A" w14:textId="77777777" w:rsidR="005309CD" w:rsidRPr="00C902C8" w:rsidRDefault="005309CD" w:rsidP="005309CD">
      <w:pPr>
        <w:spacing w:after="0" w:line="240" w:lineRule="auto"/>
        <w:jc w:val="both"/>
        <w:rPr>
          <w:rFonts w:ascii="Times New Roman" w:hAnsi="Times New Roman" w:cs="Times New Roman"/>
          <w:sz w:val="24"/>
          <w:szCs w:val="24"/>
        </w:rPr>
      </w:pPr>
    </w:p>
    <w:p w14:paraId="1852413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269D5F82" w14:textId="77777777" w:rsidR="005309CD" w:rsidRPr="00C902C8" w:rsidRDefault="005309CD" w:rsidP="005309CD">
      <w:pPr>
        <w:spacing w:after="0" w:line="240" w:lineRule="auto"/>
        <w:jc w:val="both"/>
        <w:rPr>
          <w:rFonts w:ascii="Times New Roman" w:hAnsi="Times New Roman" w:cs="Times New Roman"/>
          <w:sz w:val="24"/>
          <w:szCs w:val="24"/>
        </w:rPr>
      </w:pPr>
    </w:p>
    <w:p w14:paraId="7E65C75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219DD2B1" w14:textId="77777777" w:rsidR="005309CD" w:rsidRPr="00C902C8" w:rsidRDefault="005309CD" w:rsidP="005309CD">
      <w:pPr>
        <w:spacing w:after="0" w:line="240" w:lineRule="auto"/>
        <w:jc w:val="both"/>
        <w:rPr>
          <w:rFonts w:ascii="Times New Roman" w:hAnsi="Times New Roman" w:cs="Times New Roman"/>
          <w:sz w:val="24"/>
          <w:szCs w:val="24"/>
        </w:rPr>
      </w:pPr>
    </w:p>
    <w:p w14:paraId="3EA881A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customer, for the purpose of Customer Due Diligence CDD) process, shall submit:</w:t>
      </w:r>
    </w:p>
    <w:p w14:paraId="6183BE96" w14:textId="77777777" w:rsidR="005309CD" w:rsidRPr="00C902C8" w:rsidRDefault="005309CD" w:rsidP="005309CD">
      <w:pPr>
        <w:spacing w:after="0" w:line="240" w:lineRule="auto"/>
        <w:jc w:val="both"/>
        <w:rPr>
          <w:rFonts w:ascii="Times New Roman" w:hAnsi="Times New Roman" w:cs="Times New Roman"/>
          <w:sz w:val="24"/>
          <w:szCs w:val="24"/>
        </w:rPr>
      </w:pPr>
    </w:p>
    <w:p w14:paraId="16335A2F"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11A of the PML Act; or</w:t>
      </w:r>
    </w:p>
    <w:p w14:paraId="4B1780CF"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5FB566D4"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4D36C6DB"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Officially Valid Document (OVD) or the equivalent e-document thereof containing the details of his identity and address; and</w:t>
      </w:r>
    </w:p>
    <w:p w14:paraId="4977925B"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0B367BE3" w14:textId="77777777" w:rsidR="005309CD" w:rsidRPr="00C902C8" w:rsidRDefault="005309CD" w:rsidP="005309CD">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443B6A3D" w14:textId="77777777" w:rsidR="005309CD" w:rsidRPr="00C902C8" w:rsidRDefault="005309CD" w:rsidP="005309CD">
      <w:pPr>
        <w:spacing w:after="0" w:line="240" w:lineRule="auto"/>
        <w:jc w:val="both"/>
        <w:rPr>
          <w:rFonts w:ascii="Times New Roman" w:hAnsi="Times New Roman" w:cs="Times New Roman"/>
          <w:sz w:val="24"/>
          <w:szCs w:val="24"/>
        </w:rPr>
      </w:pPr>
    </w:p>
    <w:p w14:paraId="3667778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3A618049" w14:textId="77777777" w:rsidR="005309CD" w:rsidRPr="00C902C8" w:rsidRDefault="005309CD" w:rsidP="005309CD">
      <w:pPr>
        <w:spacing w:after="0" w:line="240" w:lineRule="auto"/>
        <w:jc w:val="both"/>
        <w:rPr>
          <w:rFonts w:ascii="Times New Roman" w:hAnsi="Times New Roman" w:cs="Times New Roman"/>
          <w:sz w:val="24"/>
          <w:szCs w:val="24"/>
        </w:rPr>
      </w:pPr>
    </w:p>
    <w:p w14:paraId="49834F3B" w14:textId="77777777" w:rsidR="005309CD" w:rsidRPr="00C902C8" w:rsidRDefault="005309CD" w:rsidP="005309CD">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(c.I.i) above to a bank or to a RE notified under first proviso to sub-section (1) of section 11A of the PML Act, such bank or RE shall carry out authentication of the customer’s Aadhaar number using e-KYC authentication facility provided by the Unique Identification Authority of India.</w:t>
      </w:r>
    </w:p>
    <w:p w14:paraId="4D8354B0" w14:textId="77777777" w:rsidR="005309CD" w:rsidRPr="00C902C8" w:rsidRDefault="005309CD" w:rsidP="005309CD">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(c.I.ii) above where offline verification can be carried out, the RE shall carry out offline verification</w:t>
      </w:r>
    </w:p>
    <w:p w14:paraId="4254BE00" w14:textId="77777777" w:rsidR="005309CD" w:rsidRPr="00C902C8" w:rsidRDefault="005309CD" w:rsidP="005309CD">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equivalent e-document of any OVD, the RE shall verify the digital signature as per the provisions of the Information Technology Act, 2000 (21 of 2000) and any rules issues thereunder and take a live photo as specified under Annex I of the Master Direction.</w:t>
      </w:r>
    </w:p>
    <w:p w14:paraId="4809EC94" w14:textId="77777777" w:rsidR="005309CD" w:rsidRPr="00C902C8" w:rsidRDefault="005309CD" w:rsidP="005309CD">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(c.I.iii) above or any OVD under clause (c.I.iv), the RE shall carry out verification through digital KYC as specified under Annex I of the Master Direction.</w:t>
      </w:r>
    </w:p>
    <w:p w14:paraId="3FC5B6CB" w14:textId="77777777" w:rsidR="005309CD" w:rsidRPr="00C902C8" w:rsidRDefault="005309CD" w:rsidP="005309CD">
      <w:pPr>
        <w:spacing w:after="0" w:line="240" w:lineRule="auto"/>
        <w:jc w:val="both"/>
        <w:rPr>
          <w:rFonts w:ascii="Times New Roman" w:hAnsi="Times New Roman" w:cs="Times New Roman"/>
          <w:sz w:val="24"/>
          <w:szCs w:val="24"/>
        </w:rPr>
      </w:pPr>
    </w:p>
    <w:p w14:paraId="1F02591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Provided, for a period not beyond such date as may be notified by the Government for a class of REs, instead of carrying out digital KYC, the RE pertaining to such class may obtain a certified copy of the proof of possession of Aadhaar number or the OVD and a recent photograph where an equivalent e-document is not submitted.</w:t>
      </w:r>
    </w:p>
    <w:p w14:paraId="3820D545" w14:textId="77777777" w:rsidR="005309CD" w:rsidRPr="00C902C8" w:rsidRDefault="005309CD" w:rsidP="005309CD">
      <w:pPr>
        <w:spacing w:after="0" w:line="240" w:lineRule="auto"/>
        <w:jc w:val="both"/>
        <w:rPr>
          <w:rFonts w:ascii="Times New Roman" w:hAnsi="Times New Roman" w:cs="Times New Roman"/>
          <w:sz w:val="24"/>
          <w:szCs w:val="24"/>
        </w:rPr>
      </w:pPr>
    </w:p>
    <w:p w14:paraId="5EA292F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1DEC8125" w14:textId="77777777" w:rsidR="005309CD" w:rsidRPr="00C902C8" w:rsidRDefault="005309CD" w:rsidP="005309CD">
      <w:pPr>
        <w:spacing w:after="0" w:line="240" w:lineRule="auto"/>
        <w:jc w:val="both"/>
        <w:rPr>
          <w:rFonts w:ascii="Times New Roman" w:hAnsi="Times New Roman" w:cs="Times New Roman"/>
          <w:sz w:val="24"/>
          <w:szCs w:val="24"/>
        </w:rPr>
      </w:pPr>
    </w:p>
    <w:p w14:paraId="15232E8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(c.I.i) above for identification and wants to provide a current address, different from the address as per the identity information available in the Central Identities Data Repository, he may give a self-declaration to that effect to the Regulated Entity.</w:t>
      </w:r>
    </w:p>
    <w:p w14:paraId="01BBB7F9" w14:textId="77777777" w:rsidR="005309CD" w:rsidRPr="00C902C8" w:rsidRDefault="005309CD" w:rsidP="005309CD">
      <w:pPr>
        <w:spacing w:after="0" w:line="240" w:lineRule="auto"/>
        <w:jc w:val="both"/>
        <w:rPr>
          <w:rFonts w:ascii="Times New Roman" w:hAnsi="Times New Roman" w:cs="Times New Roman"/>
          <w:sz w:val="24"/>
          <w:szCs w:val="24"/>
        </w:rPr>
      </w:pPr>
    </w:p>
    <w:p w14:paraId="198D8C46"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664B117A" w14:textId="77777777" w:rsidR="005309CD" w:rsidRPr="00C902C8" w:rsidRDefault="005309CD" w:rsidP="005309CD">
      <w:pPr>
        <w:spacing w:after="0" w:line="240" w:lineRule="auto"/>
        <w:jc w:val="both"/>
        <w:rPr>
          <w:rFonts w:ascii="Times New Roman" w:hAnsi="Times New Roman" w:cs="Times New Roman"/>
          <w:sz w:val="24"/>
          <w:szCs w:val="24"/>
        </w:rPr>
      </w:pPr>
    </w:p>
    <w:p w14:paraId="68EA6111" w14:textId="77777777" w:rsidR="005309CD" w:rsidRPr="00C902C8" w:rsidRDefault="005309CD" w:rsidP="005309CD">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029AAAA9" w14:textId="77777777" w:rsidR="005309CD" w:rsidRPr="00C902C8" w:rsidRDefault="005309CD" w:rsidP="005309CD">
      <w:pPr>
        <w:spacing w:after="0" w:line="240" w:lineRule="auto"/>
        <w:jc w:val="both"/>
        <w:rPr>
          <w:rFonts w:ascii="Times New Roman" w:hAnsi="Times New Roman" w:cs="Times New Roman"/>
          <w:sz w:val="24"/>
          <w:szCs w:val="24"/>
        </w:rPr>
      </w:pPr>
    </w:p>
    <w:p w14:paraId="0291D4F0" w14:textId="77777777" w:rsidR="005309CD" w:rsidRPr="00C902C8" w:rsidRDefault="005309CD" w:rsidP="005309CD">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The process of V-CIP has been specified in Section 18 in terms of which, REs may undertake live V-CIP, to be carried out by an official of the RE, for establishment of an account based relationship with an individual customer, after obtaining his informed consent and shall adhere to the following stipulations:</w:t>
      </w:r>
    </w:p>
    <w:p w14:paraId="2FA2AFDE" w14:textId="77777777" w:rsidR="005309CD" w:rsidRPr="00C902C8" w:rsidRDefault="005309CD" w:rsidP="005309CD">
      <w:pPr>
        <w:spacing w:after="0" w:line="240" w:lineRule="auto"/>
        <w:jc w:val="both"/>
        <w:rPr>
          <w:rFonts w:ascii="Times New Roman" w:hAnsi="Times New Roman" w:cs="Times New Roman"/>
          <w:sz w:val="24"/>
          <w:szCs w:val="24"/>
        </w:rPr>
      </w:pPr>
    </w:p>
    <w:p w14:paraId="0F41965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The official of the RE performing the V-CIP shall record video as well as capture photograph of the customer present for identification and obtain the identification information as below:</w:t>
      </w:r>
    </w:p>
    <w:p w14:paraId="62321AE4" w14:textId="77777777" w:rsidR="005309CD" w:rsidRPr="00C902C8" w:rsidRDefault="005309CD" w:rsidP="005309CD">
      <w:pPr>
        <w:spacing w:after="0" w:line="240" w:lineRule="auto"/>
        <w:jc w:val="both"/>
        <w:rPr>
          <w:rFonts w:ascii="Times New Roman" w:hAnsi="Times New Roman" w:cs="Times New Roman"/>
          <w:sz w:val="24"/>
          <w:szCs w:val="24"/>
        </w:rPr>
      </w:pPr>
    </w:p>
    <w:p w14:paraId="373E8401" w14:textId="77777777" w:rsidR="005309CD" w:rsidRPr="00C902C8" w:rsidRDefault="005309CD" w:rsidP="005309CD">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745AF8C5" w14:textId="77777777" w:rsidR="005309CD" w:rsidRPr="00C902C8" w:rsidRDefault="005309CD" w:rsidP="005309CD">
      <w:pPr>
        <w:spacing w:after="0" w:line="240" w:lineRule="auto"/>
        <w:jc w:val="both"/>
        <w:rPr>
          <w:rFonts w:ascii="Times New Roman" w:hAnsi="Times New Roman" w:cs="Times New Roman"/>
          <w:sz w:val="24"/>
          <w:szCs w:val="24"/>
        </w:rPr>
      </w:pPr>
    </w:p>
    <w:p w14:paraId="610698AC" w14:textId="77777777" w:rsidR="005309CD" w:rsidRPr="00C902C8" w:rsidRDefault="005309CD" w:rsidP="005309CD">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 other than banks: can only carry out Offline Verification of Aadhaar for identification.</w:t>
      </w:r>
    </w:p>
    <w:p w14:paraId="551BE91B" w14:textId="77777777" w:rsidR="005309CD" w:rsidRPr="00C902C8" w:rsidRDefault="005309CD" w:rsidP="005309CD">
      <w:pPr>
        <w:spacing w:after="0" w:line="240" w:lineRule="auto"/>
        <w:jc w:val="both"/>
        <w:rPr>
          <w:rFonts w:ascii="Times New Roman" w:hAnsi="Times New Roman" w:cs="Times New Roman"/>
          <w:sz w:val="24"/>
          <w:szCs w:val="24"/>
        </w:rPr>
      </w:pPr>
    </w:p>
    <w:p w14:paraId="2ACA9CD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39F0548D" w14:textId="77777777" w:rsidR="005309CD" w:rsidRPr="00C902C8" w:rsidRDefault="005309CD" w:rsidP="005309CD">
      <w:pPr>
        <w:spacing w:after="0" w:line="240" w:lineRule="auto"/>
        <w:jc w:val="both"/>
        <w:rPr>
          <w:rFonts w:ascii="Times New Roman" w:hAnsi="Times New Roman" w:cs="Times New Roman"/>
          <w:sz w:val="24"/>
          <w:szCs w:val="24"/>
        </w:rPr>
      </w:pPr>
    </w:p>
    <w:p w14:paraId="53E87AA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18B5C21E" w14:textId="77777777" w:rsidR="005309CD" w:rsidRPr="00C902C8" w:rsidRDefault="005309CD" w:rsidP="005309CD">
      <w:pPr>
        <w:spacing w:after="0" w:line="240" w:lineRule="auto"/>
        <w:jc w:val="both"/>
        <w:rPr>
          <w:rFonts w:ascii="Times New Roman" w:hAnsi="Times New Roman" w:cs="Times New Roman"/>
          <w:sz w:val="24"/>
          <w:szCs w:val="24"/>
        </w:rPr>
      </w:pPr>
    </w:p>
    <w:p w14:paraId="0FE4B8E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5495BAF3" w14:textId="77777777" w:rsidR="005309CD" w:rsidRPr="00C902C8" w:rsidRDefault="005309CD" w:rsidP="005309CD">
      <w:pPr>
        <w:spacing w:after="0" w:line="240" w:lineRule="auto"/>
        <w:jc w:val="both"/>
        <w:rPr>
          <w:rFonts w:ascii="Times New Roman" w:hAnsi="Times New Roman" w:cs="Times New Roman"/>
          <w:sz w:val="24"/>
          <w:szCs w:val="24"/>
        </w:rPr>
      </w:pPr>
    </w:p>
    <w:p w14:paraId="0F31D7F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0637EB57" w14:textId="77777777" w:rsidR="005309CD" w:rsidRPr="00C902C8" w:rsidRDefault="005309CD" w:rsidP="005309CD">
      <w:pPr>
        <w:spacing w:after="0" w:line="240" w:lineRule="auto"/>
        <w:jc w:val="both"/>
        <w:rPr>
          <w:rFonts w:ascii="Times New Roman" w:hAnsi="Times New Roman" w:cs="Times New Roman"/>
          <w:sz w:val="24"/>
          <w:szCs w:val="24"/>
        </w:rPr>
      </w:pPr>
    </w:p>
    <w:p w14:paraId="2A4C27B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469BAF41" w14:textId="77777777" w:rsidR="005309CD" w:rsidRPr="00C902C8" w:rsidRDefault="005309CD" w:rsidP="005309CD">
      <w:pPr>
        <w:spacing w:after="0" w:line="240" w:lineRule="auto"/>
        <w:jc w:val="both"/>
        <w:rPr>
          <w:rFonts w:ascii="Times New Roman" w:hAnsi="Times New Roman" w:cs="Times New Roman"/>
          <w:sz w:val="24"/>
          <w:szCs w:val="24"/>
        </w:rPr>
      </w:pPr>
    </w:p>
    <w:p w14:paraId="5D9F376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vii. All accounts opened through V-CIP shall be made operational only after being subject to concurrent audit, to ensure the integrity of process.</w:t>
      </w:r>
    </w:p>
    <w:p w14:paraId="401DBF70" w14:textId="77777777" w:rsidR="005309CD" w:rsidRPr="00C902C8" w:rsidRDefault="005309CD" w:rsidP="005309CD">
      <w:pPr>
        <w:spacing w:after="0" w:line="240" w:lineRule="auto"/>
        <w:jc w:val="both"/>
        <w:rPr>
          <w:rFonts w:ascii="Times New Roman" w:hAnsi="Times New Roman" w:cs="Times New Roman"/>
          <w:sz w:val="24"/>
          <w:szCs w:val="24"/>
        </w:rPr>
      </w:pPr>
    </w:p>
    <w:p w14:paraId="5046150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RE shall ensure that the process is a seamless, real-time, secured, end-to-end encrypted audiovisual interaction with the customer and the quality of the communication is adequate to allow identification of the customer beyond doubt. RE shall carry out the liveliness check in order to guard against spoofing and such other fraudulent manipulations.</w:t>
      </w:r>
    </w:p>
    <w:p w14:paraId="2BA1E2F2" w14:textId="77777777" w:rsidR="005309CD" w:rsidRPr="00C902C8" w:rsidRDefault="005309CD" w:rsidP="005309CD">
      <w:pPr>
        <w:spacing w:after="0" w:line="240" w:lineRule="auto"/>
        <w:jc w:val="both"/>
        <w:rPr>
          <w:rFonts w:ascii="Times New Roman" w:hAnsi="Times New Roman" w:cs="Times New Roman"/>
          <w:sz w:val="24"/>
          <w:szCs w:val="24"/>
        </w:rPr>
      </w:pPr>
    </w:p>
    <w:p w14:paraId="7C8C2E3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ix. To ensure security, robustness and end to end encryption, the REs shall carry out software and security audit and validation of the V-CIP application before rolling it out.</w:t>
      </w:r>
    </w:p>
    <w:p w14:paraId="28D6A936" w14:textId="77777777" w:rsidR="005309CD" w:rsidRPr="00C902C8" w:rsidRDefault="005309CD" w:rsidP="005309CD">
      <w:pPr>
        <w:spacing w:after="0" w:line="240" w:lineRule="auto"/>
        <w:jc w:val="both"/>
        <w:rPr>
          <w:rFonts w:ascii="Times New Roman" w:hAnsi="Times New Roman" w:cs="Times New Roman"/>
          <w:sz w:val="24"/>
          <w:szCs w:val="24"/>
        </w:rPr>
      </w:pPr>
    </w:p>
    <w:p w14:paraId="4E26485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 The audiovisual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2DB3307E" w14:textId="77777777" w:rsidR="005309CD" w:rsidRPr="00C902C8" w:rsidRDefault="005309CD" w:rsidP="005309CD">
      <w:pPr>
        <w:spacing w:after="0" w:line="240" w:lineRule="auto"/>
        <w:jc w:val="both"/>
        <w:rPr>
          <w:rFonts w:ascii="Times New Roman" w:hAnsi="Times New Roman" w:cs="Times New Roman"/>
          <w:sz w:val="24"/>
          <w:szCs w:val="24"/>
        </w:rPr>
      </w:pPr>
    </w:p>
    <w:p w14:paraId="4E580C4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 REs shall ensure that the video recording is stored in a safe and secure manner and bears the date and time stamp.</w:t>
      </w:r>
    </w:p>
    <w:p w14:paraId="22DC6DC4" w14:textId="77777777" w:rsidR="005309CD" w:rsidRPr="00C902C8" w:rsidRDefault="005309CD" w:rsidP="005309CD">
      <w:pPr>
        <w:spacing w:after="0" w:line="240" w:lineRule="auto"/>
        <w:jc w:val="both"/>
        <w:rPr>
          <w:rFonts w:ascii="Times New Roman" w:hAnsi="Times New Roman" w:cs="Times New Roman"/>
          <w:sz w:val="24"/>
          <w:szCs w:val="24"/>
        </w:rPr>
      </w:pPr>
    </w:p>
    <w:p w14:paraId="7D6BCDD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 REs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2BC4C8E9" w14:textId="77777777" w:rsidR="005309CD" w:rsidRPr="00C902C8" w:rsidRDefault="005309CD" w:rsidP="005309CD">
      <w:pPr>
        <w:spacing w:after="0" w:line="240" w:lineRule="auto"/>
        <w:jc w:val="both"/>
        <w:rPr>
          <w:rFonts w:ascii="Times New Roman" w:hAnsi="Times New Roman" w:cs="Times New Roman"/>
          <w:sz w:val="24"/>
          <w:szCs w:val="24"/>
        </w:rPr>
      </w:pPr>
    </w:p>
    <w:p w14:paraId="375C6CC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6FC62233" w14:textId="77777777" w:rsidR="005309CD" w:rsidRPr="00C902C8" w:rsidRDefault="005309CD" w:rsidP="005309CD">
      <w:pPr>
        <w:spacing w:after="0" w:line="240" w:lineRule="auto"/>
        <w:jc w:val="both"/>
        <w:rPr>
          <w:rFonts w:ascii="Times New Roman" w:hAnsi="Times New Roman" w:cs="Times New Roman"/>
          <w:sz w:val="24"/>
          <w:szCs w:val="24"/>
        </w:rPr>
      </w:pPr>
    </w:p>
    <w:p w14:paraId="1F1AEDC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67217AE8" w14:textId="77777777" w:rsidR="005309CD" w:rsidRPr="00C902C8" w:rsidRDefault="005309CD" w:rsidP="005309CD">
      <w:pPr>
        <w:spacing w:after="0" w:line="240" w:lineRule="auto"/>
        <w:jc w:val="both"/>
        <w:rPr>
          <w:rFonts w:ascii="Times New Roman" w:hAnsi="Times New Roman" w:cs="Times New Roman"/>
          <w:sz w:val="24"/>
          <w:szCs w:val="24"/>
        </w:rPr>
      </w:pPr>
    </w:p>
    <w:p w14:paraId="0A75014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45BEE951"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4809B12D" w14:textId="77777777" w:rsidR="005309CD" w:rsidRPr="00C902C8" w:rsidRDefault="005309CD" w:rsidP="005309CD">
      <w:pPr>
        <w:spacing w:after="0" w:line="240" w:lineRule="auto"/>
        <w:jc w:val="both"/>
        <w:rPr>
          <w:rFonts w:ascii="Times New Roman" w:hAnsi="Times New Roman" w:cs="Times New Roman"/>
          <w:sz w:val="24"/>
          <w:szCs w:val="24"/>
        </w:rPr>
      </w:pPr>
    </w:p>
    <w:p w14:paraId="42028EA5"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77272056" w14:textId="77777777" w:rsidR="005309CD" w:rsidRPr="00C902C8" w:rsidRDefault="005309CD" w:rsidP="005309CD">
      <w:pPr>
        <w:spacing w:after="0" w:line="240" w:lineRule="auto"/>
        <w:jc w:val="both"/>
        <w:rPr>
          <w:rFonts w:ascii="Times New Roman" w:hAnsi="Times New Roman" w:cs="Times New Roman"/>
          <w:b/>
          <w:bCs/>
          <w:sz w:val="24"/>
          <w:szCs w:val="24"/>
        </w:rPr>
      </w:pPr>
    </w:p>
    <w:p w14:paraId="33107FA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RBI/2019-20/207 DOR.AML.BC.No.61/14.01.001/2019-20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1AFCE4AF" w14:textId="77777777" w:rsidR="005309CD" w:rsidRPr="00C902C8" w:rsidRDefault="005309CD" w:rsidP="005309CD">
      <w:pPr>
        <w:spacing w:after="0" w:line="240" w:lineRule="auto"/>
        <w:jc w:val="both"/>
        <w:rPr>
          <w:rFonts w:ascii="Times New Roman" w:hAnsi="Times New Roman" w:cs="Times New Roman"/>
          <w:sz w:val="24"/>
          <w:szCs w:val="24"/>
        </w:rPr>
      </w:pPr>
    </w:p>
    <w:p w14:paraId="72DDD2F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42F2E27C" w14:textId="77777777" w:rsidR="005309CD" w:rsidRPr="00C902C8" w:rsidRDefault="005309CD" w:rsidP="005309CD">
      <w:pPr>
        <w:spacing w:after="0" w:line="240" w:lineRule="auto"/>
        <w:jc w:val="both"/>
        <w:rPr>
          <w:rFonts w:ascii="Times New Roman" w:hAnsi="Times New Roman" w:cs="Times New Roman"/>
          <w:sz w:val="24"/>
          <w:szCs w:val="24"/>
        </w:rPr>
      </w:pPr>
    </w:p>
    <w:p w14:paraId="7AE7950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228(E) dated March 31, 2020 has notified amendment to the Prevention of Money-laundering (Maintenance of Records) Rules, 2005.</w:t>
      </w:r>
    </w:p>
    <w:p w14:paraId="214CE930" w14:textId="77777777" w:rsidR="005309CD" w:rsidRPr="00C902C8" w:rsidRDefault="005309CD" w:rsidP="005309CD">
      <w:pPr>
        <w:spacing w:after="0" w:line="240" w:lineRule="auto"/>
        <w:jc w:val="both"/>
        <w:rPr>
          <w:rFonts w:ascii="Times New Roman" w:hAnsi="Times New Roman" w:cs="Times New Roman"/>
          <w:sz w:val="24"/>
          <w:szCs w:val="24"/>
        </w:rPr>
      </w:pPr>
    </w:p>
    <w:p w14:paraId="1E9AA06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Consequent to the aforementioned amendment to the PML Rules, Master Direction on KYC dated February 25, 2016 has been updated as under:</w:t>
      </w:r>
    </w:p>
    <w:p w14:paraId="2D0800E2" w14:textId="77777777" w:rsidR="005309CD" w:rsidRPr="00C902C8" w:rsidRDefault="005309CD" w:rsidP="005309CD">
      <w:pPr>
        <w:spacing w:after="0" w:line="240" w:lineRule="auto"/>
        <w:jc w:val="both"/>
        <w:rPr>
          <w:rFonts w:ascii="Times New Roman" w:hAnsi="Times New Roman" w:cs="Times New Roman"/>
          <w:sz w:val="24"/>
          <w:szCs w:val="24"/>
        </w:rPr>
      </w:pPr>
    </w:p>
    <w:p w14:paraId="2716AEC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2C3CBA00" w14:textId="77777777" w:rsidR="005309CD" w:rsidRPr="00C902C8" w:rsidRDefault="005309CD" w:rsidP="005309CD">
      <w:pPr>
        <w:spacing w:after="0" w:line="240" w:lineRule="auto"/>
        <w:jc w:val="both"/>
        <w:rPr>
          <w:rFonts w:ascii="Times New Roman" w:hAnsi="Times New Roman" w:cs="Times New Roman"/>
          <w:sz w:val="24"/>
          <w:szCs w:val="24"/>
        </w:rPr>
      </w:pPr>
    </w:p>
    <w:p w14:paraId="30B86F7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“Notwithstanding anything contained in clauses (e) and (f) above, the small account shall remain operational between April 1, 2020 and June 30, 2020 and such other periods as may be notified by the Central Government.”</w:t>
      </w:r>
    </w:p>
    <w:p w14:paraId="2E97E292" w14:textId="77777777" w:rsidR="005309CD" w:rsidRPr="00C902C8" w:rsidRDefault="005309CD" w:rsidP="005309CD">
      <w:pPr>
        <w:spacing w:after="0" w:line="240" w:lineRule="auto"/>
        <w:jc w:val="both"/>
        <w:rPr>
          <w:rFonts w:ascii="Times New Roman" w:hAnsi="Times New Roman" w:cs="Times New Roman"/>
          <w:sz w:val="24"/>
          <w:szCs w:val="24"/>
        </w:rPr>
      </w:pPr>
    </w:p>
    <w:p w14:paraId="13DBCE7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728B5888"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66D03BEF" w14:textId="77777777" w:rsidR="005309CD" w:rsidRPr="00C902C8" w:rsidRDefault="005309CD" w:rsidP="005309CD">
      <w:pPr>
        <w:spacing w:after="0" w:line="240" w:lineRule="auto"/>
        <w:jc w:val="both"/>
        <w:rPr>
          <w:rFonts w:ascii="Times New Roman" w:hAnsi="Times New Roman" w:cs="Times New Roman"/>
          <w:sz w:val="24"/>
          <w:szCs w:val="24"/>
        </w:rPr>
      </w:pPr>
    </w:p>
    <w:p w14:paraId="487A6523"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Internal ML/TF risk assessment by REs - Amendment to Master Direction (MD) on KYC</w:t>
      </w:r>
    </w:p>
    <w:p w14:paraId="1A86D2D9" w14:textId="77777777" w:rsidR="005309CD" w:rsidRPr="00C902C8" w:rsidRDefault="005309CD" w:rsidP="005309CD">
      <w:pPr>
        <w:spacing w:after="0" w:line="240" w:lineRule="auto"/>
        <w:jc w:val="both"/>
        <w:rPr>
          <w:rFonts w:ascii="Times New Roman" w:hAnsi="Times New Roman" w:cs="Times New Roman"/>
          <w:b/>
          <w:bCs/>
          <w:sz w:val="24"/>
          <w:szCs w:val="24"/>
        </w:rPr>
      </w:pPr>
    </w:p>
    <w:p w14:paraId="41538E3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DOR.AML.BC.No.66/14.01.001/2019-20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3D83EDCF" w14:textId="77777777" w:rsidR="005309CD" w:rsidRPr="00C902C8" w:rsidRDefault="005309CD" w:rsidP="005309CD">
      <w:pPr>
        <w:spacing w:after="0" w:line="240" w:lineRule="auto"/>
        <w:jc w:val="both"/>
        <w:rPr>
          <w:rFonts w:ascii="Times New Roman" w:hAnsi="Times New Roman" w:cs="Times New Roman"/>
          <w:sz w:val="24"/>
          <w:szCs w:val="24"/>
        </w:rPr>
      </w:pPr>
    </w:p>
    <w:p w14:paraId="0946F48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021F4F63" w14:textId="77777777" w:rsidR="005309CD" w:rsidRPr="00C902C8" w:rsidRDefault="005309CD" w:rsidP="005309CD">
      <w:pPr>
        <w:spacing w:after="0" w:line="240" w:lineRule="auto"/>
        <w:jc w:val="both"/>
        <w:rPr>
          <w:rFonts w:ascii="Times New Roman" w:hAnsi="Times New Roman" w:cs="Times New Roman"/>
          <w:sz w:val="24"/>
          <w:szCs w:val="24"/>
        </w:rPr>
      </w:pPr>
    </w:p>
    <w:p w14:paraId="06353DD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on KYC dated February 25, 2016, is hereby updated to reflect the following changes in line with Rule 9(13) of the PML Rules 2005:</w:t>
      </w:r>
    </w:p>
    <w:p w14:paraId="43932A45" w14:textId="77777777" w:rsidR="005309CD" w:rsidRPr="00C902C8" w:rsidRDefault="005309CD" w:rsidP="005309CD">
      <w:pPr>
        <w:spacing w:after="0" w:line="240" w:lineRule="auto"/>
        <w:jc w:val="both"/>
        <w:rPr>
          <w:rFonts w:ascii="Times New Roman" w:hAnsi="Times New Roman" w:cs="Times New Roman"/>
          <w:sz w:val="24"/>
          <w:szCs w:val="24"/>
        </w:rPr>
      </w:pPr>
    </w:p>
    <w:p w14:paraId="7FC9618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new section (5A) has been added to chapter II of the MD on KYC requiring REs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REs are required to take cognizance of the overall sector-specific vulnerabilities, if any, that the regulator/supervisor may share with REs from time to time. Further, the internal risk assessment carried out by the RE should be commensurate to its size, geographical presence, complexity of activities/structure, etc.</w:t>
      </w:r>
    </w:p>
    <w:p w14:paraId="6BAEC1F1" w14:textId="77777777" w:rsidR="005309CD" w:rsidRPr="00C902C8" w:rsidRDefault="005309CD" w:rsidP="005309CD">
      <w:pPr>
        <w:spacing w:after="0" w:line="240" w:lineRule="auto"/>
        <w:jc w:val="both"/>
        <w:rPr>
          <w:rFonts w:ascii="Times New Roman" w:hAnsi="Times New Roman" w:cs="Times New Roman"/>
          <w:sz w:val="24"/>
          <w:szCs w:val="24"/>
        </w:rPr>
      </w:pPr>
    </w:p>
    <w:p w14:paraId="2A53355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Also, the REs shall apply a Risk Based Approach (RBA) for mitigation and management of the identified risk and should have Board approved policies, controls and procedures in this regard.</w:t>
      </w:r>
    </w:p>
    <w:p w14:paraId="5532D92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above instructions shall come into force with immediate effect. It may be noted that the first such internal risk assessment by the REs should be completed by June 30, 2020 and thereafter reviewed periodically.</w:t>
      </w:r>
    </w:p>
    <w:p w14:paraId="1AC24328"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299704AA" w14:textId="77777777" w:rsidR="005309CD" w:rsidRPr="00C902C8" w:rsidRDefault="005309CD" w:rsidP="005309CD">
      <w:pPr>
        <w:spacing w:after="0" w:line="240" w:lineRule="auto"/>
        <w:jc w:val="both"/>
        <w:rPr>
          <w:rFonts w:ascii="Times New Roman" w:hAnsi="Times New Roman" w:cs="Times New Roman"/>
          <w:sz w:val="24"/>
          <w:szCs w:val="24"/>
        </w:rPr>
      </w:pPr>
    </w:p>
    <w:p w14:paraId="2A11ABEE" w14:textId="77777777" w:rsidR="005309CD" w:rsidRDefault="005309CD" w:rsidP="005309CD">
      <w:pPr>
        <w:spacing w:after="0" w:line="240" w:lineRule="auto"/>
        <w:jc w:val="both"/>
        <w:rPr>
          <w:rFonts w:ascii="Times New Roman" w:hAnsi="Times New Roman" w:cs="Times New Roman"/>
          <w:b/>
          <w:bCs/>
          <w:sz w:val="24"/>
          <w:szCs w:val="24"/>
        </w:rPr>
      </w:pPr>
    </w:p>
    <w:p w14:paraId="02FD9B49"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563B007B" w14:textId="77777777" w:rsidR="005309CD" w:rsidRPr="00C902C8" w:rsidRDefault="005309CD" w:rsidP="005309CD">
      <w:pPr>
        <w:spacing w:after="0" w:line="240" w:lineRule="auto"/>
        <w:jc w:val="both"/>
        <w:rPr>
          <w:rFonts w:ascii="Times New Roman" w:hAnsi="Times New Roman" w:cs="Times New Roman"/>
          <w:b/>
          <w:bCs/>
          <w:sz w:val="24"/>
          <w:szCs w:val="24"/>
        </w:rPr>
      </w:pPr>
    </w:p>
    <w:p w14:paraId="308E5B0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DOR.NBFC (HFC).CC.No.111/03.10.136/2019-20 </w:t>
      </w:r>
      <w:r w:rsidRPr="00C902C8">
        <w:rPr>
          <w:rFonts w:ascii="Times New Roman" w:hAnsi="Times New Roman" w:cs="Times New Roman"/>
          <w:sz w:val="24"/>
          <w:szCs w:val="24"/>
        </w:rPr>
        <w:tab/>
        <w:t>May 19, 2020</w:t>
      </w:r>
    </w:p>
    <w:p w14:paraId="60472569" w14:textId="77777777" w:rsidR="005309CD" w:rsidRPr="00C902C8" w:rsidRDefault="005309CD" w:rsidP="005309CD">
      <w:pPr>
        <w:spacing w:after="0" w:line="240" w:lineRule="auto"/>
        <w:jc w:val="both"/>
        <w:rPr>
          <w:rFonts w:ascii="Times New Roman" w:hAnsi="Times New Roman" w:cs="Times New Roman"/>
          <w:sz w:val="24"/>
          <w:szCs w:val="24"/>
        </w:rPr>
      </w:pPr>
    </w:p>
    <w:p w14:paraId="24730F6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D21B4B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411F687D" w14:textId="77777777" w:rsidR="005309CD" w:rsidRPr="00C902C8" w:rsidRDefault="005309CD" w:rsidP="005309CD">
      <w:pPr>
        <w:spacing w:after="0" w:line="240" w:lineRule="auto"/>
        <w:jc w:val="both"/>
        <w:rPr>
          <w:rFonts w:ascii="Times New Roman" w:hAnsi="Times New Roman" w:cs="Times New Roman"/>
          <w:sz w:val="24"/>
          <w:szCs w:val="24"/>
        </w:rPr>
      </w:pPr>
    </w:p>
    <w:p w14:paraId="6CF8554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(CFT) and is applicable to all Regulated Entities of the Bank. In this connection, attention is invited to our Press Release no.2019-2020/419 dated August 13, 2019 on transfer of regulation of Housing Finance Companies to Reserve Bank of India.</w:t>
      </w:r>
    </w:p>
    <w:p w14:paraId="0DED7FA2" w14:textId="77777777" w:rsidR="005309CD" w:rsidRPr="00C902C8" w:rsidRDefault="005309CD" w:rsidP="005309CD">
      <w:pPr>
        <w:spacing w:after="0" w:line="240" w:lineRule="auto"/>
        <w:jc w:val="both"/>
        <w:rPr>
          <w:rFonts w:ascii="Times New Roman" w:hAnsi="Times New Roman" w:cs="Times New Roman"/>
          <w:sz w:val="24"/>
          <w:szCs w:val="24"/>
        </w:rPr>
      </w:pPr>
    </w:p>
    <w:p w14:paraId="6B462BB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to extend the Master Direction – Know Your Customer (KYC) Direction, 2016 to all Housing Finance Companies.</w:t>
      </w:r>
    </w:p>
    <w:p w14:paraId="7E07D85A" w14:textId="77777777" w:rsidR="005309CD" w:rsidRPr="00C902C8" w:rsidRDefault="005309CD" w:rsidP="005309CD">
      <w:pPr>
        <w:spacing w:after="0" w:line="240" w:lineRule="auto"/>
        <w:jc w:val="both"/>
        <w:rPr>
          <w:rFonts w:ascii="Times New Roman" w:hAnsi="Times New Roman" w:cs="Times New Roman"/>
          <w:sz w:val="24"/>
          <w:szCs w:val="24"/>
        </w:rPr>
      </w:pPr>
    </w:p>
    <w:p w14:paraId="0E0402F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4AF354FD"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741046C6" w14:textId="77777777" w:rsidR="005309CD" w:rsidRPr="00C902C8" w:rsidRDefault="005309CD" w:rsidP="005309CD">
      <w:pPr>
        <w:spacing w:after="0" w:line="240" w:lineRule="auto"/>
        <w:jc w:val="both"/>
        <w:rPr>
          <w:rFonts w:ascii="Times New Roman" w:hAnsi="Times New Roman" w:cs="Times New Roman"/>
          <w:sz w:val="24"/>
          <w:szCs w:val="24"/>
        </w:rPr>
      </w:pPr>
    </w:p>
    <w:p w14:paraId="5F76479E"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w:t>
      </w:r>
    </w:p>
    <w:p w14:paraId="57A65456" w14:textId="77777777" w:rsidR="005309CD" w:rsidRPr="00C902C8" w:rsidRDefault="005309CD" w:rsidP="005309CD">
      <w:pPr>
        <w:spacing w:after="0" w:line="240" w:lineRule="auto"/>
        <w:jc w:val="both"/>
        <w:rPr>
          <w:rFonts w:ascii="Times New Roman" w:hAnsi="Times New Roman" w:cs="Times New Roman"/>
          <w:b/>
          <w:bCs/>
          <w:sz w:val="24"/>
          <w:szCs w:val="24"/>
        </w:rPr>
      </w:pPr>
    </w:p>
    <w:p w14:paraId="22FE3C3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RBI/2019-20/140 DPSS.CO.OD.No.1328/06.08.005/2019-20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0E58BCB6" w14:textId="77777777" w:rsidR="005309CD" w:rsidRPr="00C902C8" w:rsidRDefault="005309CD" w:rsidP="005309CD">
      <w:pPr>
        <w:spacing w:after="0" w:line="240" w:lineRule="auto"/>
        <w:jc w:val="both"/>
        <w:rPr>
          <w:rFonts w:ascii="Times New Roman" w:hAnsi="Times New Roman" w:cs="Times New Roman"/>
          <w:sz w:val="24"/>
          <w:szCs w:val="24"/>
        </w:rPr>
      </w:pPr>
    </w:p>
    <w:p w14:paraId="7D4C447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Chairman / Managing Director / Chief Executive Officer </w:t>
      </w:r>
    </w:p>
    <w:p w14:paraId="71EB8BD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Payment System Operators / Banks</w:t>
      </w:r>
    </w:p>
    <w:p w14:paraId="746034EE" w14:textId="77777777" w:rsidR="005309CD" w:rsidRPr="00C902C8" w:rsidRDefault="005309CD" w:rsidP="005309CD">
      <w:pPr>
        <w:spacing w:after="0" w:line="240" w:lineRule="auto"/>
        <w:jc w:val="both"/>
        <w:rPr>
          <w:rFonts w:ascii="Times New Roman" w:hAnsi="Times New Roman" w:cs="Times New Roman"/>
          <w:sz w:val="24"/>
          <w:szCs w:val="24"/>
        </w:rPr>
      </w:pPr>
    </w:p>
    <w:p w14:paraId="29DB847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Reserve Bank of India (RBI) circular DPSS.CO.OD.No.1082/06.08.005/2016-17 dated October 20, 2016 advising the framework for imposition of monetary penalty and compounding of contraventions / offences under Sections 30 and 31, respectively of the Payment and Settlement Systems (PSS) Act, 2007.</w:t>
      </w:r>
    </w:p>
    <w:p w14:paraId="6575F317" w14:textId="77777777" w:rsidR="005309CD" w:rsidRPr="00C902C8" w:rsidRDefault="005309CD" w:rsidP="005309CD">
      <w:pPr>
        <w:spacing w:after="0" w:line="240" w:lineRule="auto"/>
        <w:jc w:val="both"/>
        <w:rPr>
          <w:rFonts w:ascii="Times New Roman" w:hAnsi="Times New Roman" w:cs="Times New Roman"/>
          <w:sz w:val="24"/>
          <w:szCs w:val="24"/>
        </w:rPr>
      </w:pPr>
    </w:p>
    <w:p w14:paraId="78FBB11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payment system landscape has witnessed rapid developments since then with increased adoption of technology, availability of payment products, entry of more non-bank players, dis-intermediation, significant surge in turnover, etc. To ensure that the payment systems are safe and secure and the various stakeholders conform to regulatory requirements, on review it has been decided to revise the process of levy of penalty on payment system operators by the Reserve Bank of India.</w:t>
      </w:r>
    </w:p>
    <w:p w14:paraId="6AC5A33C" w14:textId="77777777" w:rsidR="005309CD" w:rsidRPr="00C902C8" w:rsidRDefault="005309CD" w:rsidP="005309CD">
      <w:pPr>
        <w:spacing w:after="0" w:line="240" w:lineRule="auto"/>
        <w:jc w:val="both"/>
        <w:rPr>
          <w:rFonts w:ascii="Times New Roman" w:hAnsi="Times New Roman" w:cs="Times New Roman"/>
          <w:sz w:val="24"/>
          <w:szCs w:val="24"/>
        </w:rPr>
      </w:pPr>
    </w:p>
    <w:p w14:paraId="3B14139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table showing the changes made to the existing framework is in Annex 1; salient features of the revised framework are in Annex 2. The revised framework continues to centre around objectivity and transparency in the decision-making process. It may be noted that action taken under this framework would be without prejudice to any other laws of the country.</w:t>
      </w:r>
    </w:p>
    <w:p w14:paraId="0C400C6E" w14:textId="77777777" w:rsidR="005309CD" w:rsidRPr="00C902C8" w:rsidRDefault="005309CD" w:rsidP="005309CD">
      <w:pPr>
        <w:spacing w:after="0" w:line="240" w:lineRule="auto"/>
        <w:jc w:val="both"/>
        <w:rPr>
          <w:rFonts w:ascii="Times New Roman" w:hAnsi="Times New Roman" w:cs="Times New Roman"/>
          <w:sz w:val="24"/>
          <w:szCs w:val="24"/>
        </w:rPr>
      </w:pPr>
    </w:p>
    <w:p w14:paraId="10298E83"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1</w:t>
      </w:r>
    </w:p>
    <w:p w14:paraId="254CF40F" w14:textId="77777777" w:rsidR="005309CD" w:rsidRPr="00C902C8" w:rsidRDefault="005309CD" w:rsidP="005309CD">
      <w:pPr>
        <w:spacing w:after="0" w:line="240" w:lineRule="auto"/>
        <w:jc w:val="both"/>
        <w:rPr>
          <w:rFonts w:ascii="Times New Roman" w:hAnsi="Times New Roman" w:cs="Times New Roman"/>
          <w:sz w:val="24"/>
          <w:szCs w:val="24"/>
        </w:rPr>
      </w:pPr>
    </w:p>
    <w:p w14:paraId="143BAD55"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 – Existing framework vis-à-vis the Revised framework</w:t>
      </w:r>
    </w:p>
    <w:p w14:paraId="50754D1A" w14:textId="77777777" w:rsidR="005309CD" w:rsidRPr="00C902C8" w:rsidRDefault="005309CD" w:rsidP="005309CD">
      <w:pPr>
        <w:spacing w:after="0" w:line="240" w:lineRule="auto"/>
        <w:jc w:val="both"/>
        <w:rPr>
          <w:rFonts w:ascii="Times New Roman" w:hAnsi="Times New Roman" w:cs="Times New Roman"/>
          <w:sz w:val="24"/>
          <w:szCs w:val="24"/>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1789"/>
        <w:gridCol w:w="2901"/>
        <w:gridCol w:w="3413"/>
        <w:gridCol w:w="18"/>
      </w:tblGrid>
      <w:tr w:rsidR="005309CD" w:rsidRPr="00C902C8" w14:paraId="16A2C393" w14:textId="77777777" w:rsidTr="005309CD">
        <w:trPr>
          <w:gridAfter w:val="1"/>
          <w:jc w:val="center"/>
        </w:trPr>
        <w:tc>
          <w:tcPr>
            <w:tcW w:w="249" w:type="pct"/>
            <w:tcMar>
              <w:top w:w="0" w:type="dxa"/>
              <w:left w:w="45" w:type="dxa"/>
              <w:bottom w:w="0" w:type="dxa"/>
              <w:right w:w="45" w:type="dxa"/>
            </w:tcMar>
            <w:vAlign w:val="center"/>
            <w:hideMark/>
          </w:tcPr>
          <w:p w14:paraId="3F1BB344" w14:textId="77777777" w:rsidR="005309CD" w:rsidRPr="00C902C8" w:rsidRDefault="005309CD" w:rsidP="005309CD">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Sr. No.</w:t>
            </w:r>
          </w:p>
        </w:tc>
        <w:tc>
          <w:tcPr>
            <w:tcW w:w="1047" w:type="pct"/>
            <w:tcMar>
              <w:top w:w="0" w:type="dxa"/>
              <w:left w:w="45" w:type="dxa"/>
              <w:bottom w:w="0" w:type="dxa"/>
              <w:right w:w="45" w:type="dxa"/>
            </w:tcMar>
            <w:vAlign w:val="center"/>
            <w:hideMark/>
          </w:tcPr>
          <w:p w14:paraId="24B902DC" w14:textId="77777777" w:rsidR="005309CD" w:rsidRPr="00C902C8" w:rsidRDefault="005309CD" w:rsidP="005309CD">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Subject</w:t>
            </w:r>
          </w:p>
        </w:tc>
        <w:tc>
          <w:tcPr>
            <w:tcW w:w="1696" w:type="pct"/>
            <w:tcMar>
              <w:top w:w="0" w:type="dxa"/>
              <w:left w:w="45" w:type="dxa"/>
              <w:bottom w:w="0" w:type="dxa"/>
              <w:right w:w="45" w:type="dxa"/>
            </w:tcMar>
            <w:vAlign w:val="center"/>
            <w:hideMark/>
          </w:tcPr>
          <w:p w14:paraId="68AF6C83" w14:textId="77777777" w:rsidR="005309CD" w:rsidRPr="00C902C8" w:rsidRDefault="005309CD" w:rsidP="005309CD">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Framework</w:t>
            </w:r>
            <w:r w:rsidRPr="00C902C8">
              <w:rPr>
                <w:rFonts w:ascii="Times New Roman" w:eastAsia="Times New Roman" w:hAnsi="Times New Roman" w:cs="Times New Roman"/>
                <w:b/>
                <w:bCs/>
                <w:color w:val="000000"/>
                <w:sz w:val="24"/>
                <w:szCs w:val="24"/>
                <w:lang w:eastAsia="en-IN"/>
              </w:rPr>
              <w:br/>
              <w:t>(Circular dated October 20, 2016)</w:t>
            </w:r>
          </w:p>
        </w:tc>
        <w:tc>
          <w:tcPr>
            <w:tcW w:w="1995" w:type="pct"/>
            <w:tcMar>
              <w:top w:w="0" w:type="dxa"/>
              <w:left w:w="45" w:type="dxa"/>
              <w:bottom w:w="0" w:type="dxa"/>
              <w:right w:w="45" w:type="dxa"/>
            </w:tcMar>
            <w:vAlign w:val="center"/>
            <w:hideMark/>
          </w:tcPr>
          <w:p w14:paraId="2CE2DF71" w14:textId="77777777" w:rsidR="005309CD" w:rsidRPr="00C902C8" w:rsidRDefault="005309CD" w:rsidP="005309CD">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Revised Framework</w:t>
            </w:r>
            <w:r w:rsidRPr="00C902C8">
              <w:rPr>
                <w:rFonts w:ascii="Times New Roman" w:eastAsia="Times New Roman" w:hAnsi="Times New Roman" w:cs="Times New Roman"/>
                <w:b/>
                <w:bCs/>
                <w:color w:val="000000"/>
                <w:sz w:val="24"/>
                <w:szCs w:val="24"/>
                <w:lang w:eastAsia="en-IN"/>
              </w:rPr>
              <w:br/>
              <w:t>(Circular dated January 10, 2020)</w:t>
            </w:r>
          </w:p>
        </w:tc>
      </w:tr>
      <w:tr w:rsidR="005309CD" w:rsidRPr="00C902C8" w14:paraId="50FBF840" w14:textId="77777777" w:rsidTr="005309CD">
        <w:trPr>
          <w:gridAfter w:val="1"/>
          <w:jc w:val="center"/>
        </w:trPr>
        <w:tc>
          <w:tcPr>
            <w:tcW w:w="0" w:type="auto"/>
            <w:tcMar>
              <w:top w:w="0" w:type="dxa"/>
              <w:left w:w="45" w:type="dxa"/>
              <w:bottom w:w="0" w:type="dxa"/>
              <w:right w:w="45" w:type="dxa"/>
            </w:tcMar>
            <w:hideMark/>
          </w:tcPr>
          <w:p w14:paraId="7D35A9D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w:t>
            </w:r>
          </w:p>
        </w:tc>
        <w:tc>
          <w:tcPr>
            <w:tcW w:w="0" w:type="auto"/>
            <w:tcMar>
              <w:top w:w="0" w:type="dxa"/>
              <w:left w:w="45" w:type="dxa"/>
              <w:bottom w:w="0" w:type="dxa"/>
              <w:right w:w="45" w:type="dxa"/>
            </w:tcMar>
            <w:hideMark/>
          </w:tcPr>
          <w:p w14:paraId="0EC20D07"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w:t>
            </w:r>
          </w:p>
        </w:tc>
        <w:tc>
          <w:tcPr>
            <w:tcW w:w="0" w:type="auto"/>
            <w:tcMar>
              <w:top w:w="0" w:type="dxa"/>
              <w:left w:w="45" w:type="dxa"/>
              <w:bottom w:w="0" w:type="dxa"/>
              <w:right w:w="45" w:type="dxa"/>
            </w:tcMar>
            <w:hideMark/>
          </w:tcPr>
          <w:p w14:paraId="457A90B2"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Powers of RBI to impose fine and compound contraventions have been mentioned; the type of contravention / violation for which RBI has powers to </w:t>
            </w:r>
            <w:r w:rsidRPr="00C902C8">
              <w:rPr>
                <w:rFonts w:ascii="Times New Roman" w:eastAsia="Times New Roman" w:hAnsi="Times New Roman" w:cs="Times New Roman"/>
                <w:color w:val="000000"/>
                <w:sz w:val="24"/>
                <w:szCs w:val="24"/>
                <w:lang w:eastAsia="en-IN"/>
              </w:rPr>
              <w:lastRenderedPageBreak/>
              <w:t>impose fine and compound, are not explicitly indicated.</w:t>
            </w:r>
          </w:p>
        </w:tc>
        <w:tc>
          <w:tcPr>
            <w:tcW w:w="0" w:type="auto"/>
            <w:tcMar>
              <w:top w:w="0" w:type="dxa"/>
              <w:left w:w="45" w:type="dxa"/>
              <w:bottom w:w="0" w:type="dxa"/>
              <w:right w:w="45" w:type="dxa"/>
            </w:tcMar>
            <w:hideMark/>
          </w:tcPr>
          <w:p w14:paraId="0A0DDDA0"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 xml:space="preserve">RBI has powers to impose monetary penalty in respect of certain contraventions as well as compound certain contraventions. The type / nature of contravention for which penalty can be imposed and compounded are different and </w:t>
            </w:r>
            <w:r w:rsidRPr="00C902C8">
              <w:rPr>
                <w:rFonts w:ascii="Times New Roman" w:eastAsia="Times New Roman" w:hAnsi="Times New Roman" w:cs="Times New Roman"/>
                <w:color w:val="000000"/>
                <w:sz w:val="24"/>
                <w:szCs w:val="24"/>
                <w:lang w:eastAsia="en-IN"/>
              </w:rPr>
              <w:lastRenderedPageBreak/>
              <w:t>vary. This has been detailed including the procedure to be followed.</w:t>
            </w:r>
          </w:p>
        </w:tc>
      </w:tr>
      <w:tr w:rsidR="005309CD" w:rsidRPr="00C902C8" w14:paraId="3D748368" w14:textId="77777777" w:rsidTr="005309CD">
        <w:trPr>
          <w:gridAfter w:val="1"/>
          <w:jc w:val="center"/>
        </w:trPr>
        <w:tc>
          <w:tcPr>
            <w:tcW w:w="0" w:type="auto"/>
            <w:tcMar>
              <w:top w:w="0" w:type="dxa"/>
              <w:left w:w="45" w:type="dxa"/>
              <w:bottom w:w="0" w:type="dxa"/>
              <w:right w:w="45" w:type="dxa"/>
            </w:tcMar>
            <w:hideMark/>
          </w:tcPr>
          <w:p w14:paraId="6D6F80C5"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2.</w:t>
            </w:r>
          </w:p>
        </w:tc>
        <w:tc>
          <w:tcPr>
            <w:tcW w:w="0" w:type="auto"/>
            <w:tcMar>
              <w:top w:w="0" w:type="dxa"/>
              <w:left w:w="45" w:type="dxa"/>
              <w:bottom w:w="0" w:type="dxa"/>
              <w:right w:w="45" w:type="dxa"/>
            </w:tcMar>
            <w:hideMark/>
          </w:tcPr>
          <w:p w14:paraId="69ABF761"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Procedure for imposing monetary penalty / fine</w:t>
            </w:r>
          </w:p>
        </w:tc>
        <w:tc>
          <w:tcPr>
            <w:tcW w:w="0" w:type="auto"/>
            <w:tcMar>
              <w:top w:w="0" w:type="dxa"/>
              <w:left w:w="45" w:type="dxa"/>
              <w:bottom w:w="0" w:type="dxa"/>
              <w:right w:w="45" w:type="dxa"/>
            </w:tcMar>
            <w:hideMark/>
          </w:tcPr>
          <w:p w14:paraId="053E4126"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Single procedure for imposing monetary penalty / fine in respect of contraventions identified by RBI as well as compounding of contraventions.</w:t>
            </w:r>
          </w:p>
        </w:tc>
        <w:tc>
          <w:tcPr>
            <w:tcW w:w="0" w:type="auto"/>
            <w:tcMar>
              <w:top w:w="0" w:type="dxa"/>
              <w:left w:w="45" w:type="dxa"/>
              <w:bottom w:w="0" w:type="dxa"/>
              <w:right w:w="45" w:type="dxa"/>
            </w:tcMar>
            <w:hideMark/>
          </w:tcPr>
          <w:p w14:paraId="4055FA6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Considering that the powers of RBI to impose monetary penalty and compound contraventions are different, and further that the nature of identification of contraventions is also different, separate procedures have been proposed.</w:t>
            </w:r>
          </w:p>
        </w:tc>
      </w:tr>
      <w:tr w:rsidR="005309CD" w:rsidRPr="00C902C8" w14:paraId="69F8F10E" w14:textId="77777777" w:rsidTr="005309CD">
        <w:trPr>
          <w:gridAfter w:val="1"/>
          <w:trHeight w:val="458"/>
          <w:jc w:val="center"/>
        </w:trPr>
        <w:tc>
          <w:tcPr>
            <w:tcW w:w="0" w:type="auto"/>
            <w:vMerge w:val="restart"/>
            <w:tcMar>
              <w:top w:w="0" w:type="dxa"/>
              <w:left w:w="45" w:type="dxa"/>
              <w:bottom w:w="0" w:type="dxa"/>
              <w:right w:w="45" w:type="dxa"/>
            </w:tcMar>
            <w:hideMark/>
          </w:tcPr>
          <w:p w14:paraId="39E210E3"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w:t>
            </w:r>
          </w:p>
        </w:tc>
        <w:tc>
          <w:tcPr>
            <w:tcW w:w="0" w:type="auto"/>
            <w:vMerge w:val="restart"/>
            <w:tcMar>
              <w:top w:w="0" w:type="dxa"/>
              <w:left w:w="45" w:type="dxa"/>
              <w:bottom w:w="0" w:type="dxa"/>
              <w:right w:w="45" w:type="dxa"/>
            </w:tcMar>
            <w:hideMark/>
          </w:tcPr>
          <w:p w14:paraId="30AEA1B8"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Delegation of powers to impose fine and compound contraventions</w:t>
            </w:r>
          </w:p>
        </w:tc>
        <w:tc>
          <w:tcPr>
            <w:tcW w:w="0" w:type="auto"/>
            <w:vMerge w:val="restart"/>
            <w:tcMar>
              <w:top w:w="0" w:type="dxa"/>
              <w:left w:w="45" w:type="dxa"/>
              <w:bottom w:w="0" w:type="dxa"/>
              <w:right w:w="45" w:type="dxa"/>
            </w:tcMar>
            <w:hideMark/>
          </w:tcPr>
          <w:p w14:paraId="367ECDBC"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There is no mention of delegation of powers or about the designated authority.</w:t>
            </w:r>
          </w:p>
        </w:tc>
        <w:tc>
          <w:tcPr>
            <w:tcW w:w="0" w:type="auto"/>
            <w:vMerge w:val="restart"/>
            <w:tcMar>
              <w:top w:w="0" w:type="dxa"/>
              <w:left w:w="45" w:type="dxa"/>
              <w:bottom w:w="0" w:type="dxa"/>
              <w:right w:w="45" w:type="dxa"/>
            </w:tcMar>
            <w:hideMark/>
          </w:tcPr>
          <w:p w14:paraId="39A7807C"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powers to impose monetary penalty on account of RBI identified contraventions and compounding of contraventions have been separated.</w:t>
            </w:r>
          </w:p>
        </w:tc>
      </w:tr>
      <w:tr w:rsidR="005309CD" w:rsidRPr="00C902C8" w14:paraId="26C9FAC9" w14:textId="77777777" w:rsidTr="005309CD">
        <w:trPr>
          <w:jc w:val="center"/>
        </w:trPr>
        <w:tc>
          <w:tcPr>
            <w:tcW w:w="0" w:type="auto"/>
            <w:vMerge/>
            <w:vAlign w:val="center"/>
            <w:hideMark/>
          </w:tcPr>
          <w:p w14:paraId="0E44A864"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7AFCB2EE"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4B6953E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22C510CD"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p>
        </w:tc>
        <w:tc>
          <w:tcPr>
            <w:tcW w:w="0" w:type="auto"/>
            <w:vAlign w:val="center"/>
            <w:hideMark/>
          </w:tcPr>
          <w:p w14:paraId="7D224550"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p>
        </w:tc>
      </w:tr>
      <w:tr w:rsidR="005309CD" w:rsidRPr="00C902C8" w14:paraId="70161164" w14:textId="77777777" w:rsidTr="005309CD">
        <w:trPr>
          <w:jc w:val="center"/>
        </w:trPr>
        <w:tc>
          <w:tcPr>
            <w:tcW w:w="0" w:type="auto"/>
            <w:tcMar>
              <w:top w:w="0" w:type="dxa"/>
              <w:left w:w="45" w:type="dxa"/>
              <w:bottom w:w="0" w:type="dxa"/>
              <w:right w:w="45" w:type="dxa"/>
            </w:tcMar>
            <w:hideMark/>
          </w:tcPr>
          <w:p w14:paraId="2DA6BA13"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w:t>
            </w:r>
          </w:p>
        </w:tc>
        <w:tc>
          <w:tcPr>
            <w:tcW w:w="0" w:type="auto"/>
            <w:tcMar>
              <w:top w:w="0" w:type="dxa"/>
              <w:left w:w="45" w:type="dxa"/>
              <w:bottom w:w="0" w:type="dxa"/>
              <w:right w:w="45" w:type="dxa"/>
            </w:tcMar>
            <w:hideMark/>
          </w:tcPr>
          <w:p w14:paraId="703D488F"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Issuance of Show Cause Notice (SCN)</w:t>
            </w:r>
          </w:p>
        </w:tc>
        <w:tc>
          <w:tcPr>
            <w:tcW w:w="0" w:type="auto"/>
            <w:tcMar>
              <w:top w:w="0" w:type="dxa"/>
              <w:left w:w="45" w:type="dxa"/>
              <w:bottom w:w="0" w:type="dxa"/>
              <w:right w:w="45" w:type="dxa"/>
            </w:tcMar>
            <w:hideMark/>
          </w:tcPr>
          <w:p w14:paraId="7A159819"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In case RBI is not satisfied with the explanation furnished by the contravener, a SCN shall be issued. There is no methodology for considering various parameters to decide on its issue.</w:t>
            </w:r>
          </w:p>
        </w:tc>
        <w:tc>
          <w:tcPr>
            <w:tcW w:w="0" w:type="auto"/>
            <w:tcMar>
              <w:top w:w="0" w:type="dxa"/>
              <w:left w:w="45" w:type="dxa"/>
              <w:bottom w:w="0" w:type="dxa"/>
              <w:right w:w="45" w:type="dxa"/>
            </w:tcMar>
            <w:hideMark/>
          </w:tcPr>
          <w:p w14:paraId="2978E48E"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decision to issue SCN will be based on certain parameters dovetailed in a Scoring Matrix.</w:t>
            </w:r>
          </w:p>
        </w:tc>
        <w:tc>
          <w:tcPr>
            <w:tcW w:w="0" w:type="auto"/>
            <w:vAlign w:val="center"/>
            <w:hideMark/>
          </w:tcPr>
          <w:p w14:paraId="1DE4DD9A" w14:textId="77777777" w:rsidR="005309CD" w:rsidRPr="00C902C8" w:rsidRDefault="005309CD" w:rsidP="005309CD">
            <w:pPr>
              <w:spacing w:after="0" w:line="240" w:lineRule="auto"/>
              <w:jc w:val="both"/>
              <w:rPr>
                <w:rFonts w:ascii="Times New Roman" w:eastAsia="Times New Roman" w:hAnsi="Times New Roman" w:cs="Times New Roman"/>
                <w:sz w:val="24"/>
                <w:szCs w:val="24"/>
                <w:lang w:eastAsia="en-IN"/>
              </w:rPr>
            </w:pPr>
          </w:p>
        </w:tc>
      </w:tr>
      <w:tr w:rsidR="005309CD" w:rsidRPr="00C902C8" w14:paraId="6A1CFC2B" w14:textId="77777777" w:rsidTr="005309CD">
        <w:trPr>
          <w:jc w:val="center"/>
        </w:trPr>
        <w:tc>
          <w:tcPr>
            <w:tcW w:w="0" w:type="auto"/>
            <w:tcMar>
              <w:top w:w="0" w:type="dxa"/>
              <w:left w:w="45" w:type="dxa"/>
              <w:bottom w:w="0" w:type="dxa"/>
              <w:right w:w="45" w:type="dxa"/>
            </w:tcMar>
            <w:hideMark/>
          </w:tcPr>
          <w:p w14:paraId="19A62F3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w:t>
            </w:r>
          </w:p>
        </w:tc>
        <w:tc>
          <w:tcPr>
            <w:tcW w:w="0" w:type="auto"/>
            <w:tcMar>
              <w:top w:w="0" w:type="dxa"/>
              <w:left w:w="45" w:type="dxa"/>
              <w:bottom w:w="0" w:type="dxa"/>
              <w:right w:w="45" w:type="dxa"/>
            </w:tcMar>
            <w:hideMark/>
          </w:tcPr>
          <w:p w14:paraId="176E8E54"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Action based on nature of contravention</w:t>
            </w:r>
          </w:p>
        </w:tc>
        <w:tc>
          <w:tcPr>
            <w:tcW w:w="0" w:type="auto"/>
            <w:tcMar>
              <w:top w:w="0" w:type="dxa"/>
              <w:left w:w="45" w:type="dxa"/>
              <w:bottom w:w="0" w:type="dxa"/>
              <w:right w:w="45" w:type="dxa"/>
            </w:tcMar>
            <w:hideMark/>
          </w:tcPr>
          <w:p w14:paraId="0756E038"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No such procedure.</w:t>
            </w:r>
          </w:p>
        </w:tc>
        <w:tc>
          <w:tcPr>
            <w:tcW w:w="0" w:type="auto"/>
            <w:tcMar>
              <w:top w:w="0" w:type="dxa"/>
              <w:left w:w="45" w:type="dxa"/>
              <w:bottom w:w="0" w:type="dxa"/>
              <w:right w:w="45" w:type="dxa"/>
            </w:tcMar>
            <w:hideMark/>
          </w:tcPr>
          <w:p w14:paraId="2AE4848F"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Will depend on whether the contraventions are quantifiable or non-quantifiable.</w:t>
            </w:r>
          </w:p>
        </w:tc>
        <w:tc>
          <w:tcPr>
            <w:tcW w:w="0" w:type="auto"/>
            <w:vAlign w:val="center"/>
            <w:hideMark/>
          </w:tcPr>
          <w:p w14:paraId="1BBE2EFA" w14:textId="77777777" w:rsidR="005309CD" w:rsidRPr="00C902C8" w:rsidRDefault="005309CD" w:rsidP="005309CD">
            <w:pPr>
              <w:spacing w:after="0" w:line="240" w:lineRule="auto"/>
              <w:jc w:val="both"/>
              <w:rPr>
                <w:rFonts w:ascii="Times New Roman" w:eastAsia="Times New Roman" w:hAnsi="Times New Roman" w:cs="Times New Roman"/>
                <w:sz w:val="24"/>
                <w:szCs w:val="24"/>
                <w:lang w:eastAsia="en-IN"/>
              </w:rPr>
            </w:pPr>
          </w:p>
        </w:tc>
      </w:tr>
      <w:tr w:rsidR="005309CD" w:rsidRPr="00C902C8" w14:paraId="73D23953" w14:textId="77777777" w:rsidTr="005309CD">
        <w:trPr>
          <w:jc w:val="center"/>
        </w:trPr>
        <w:tc>
          <w:tcPr>
            <w:tcW w:w="0" w:type="auto"/>
            <w:tcMar>
              <w:top w:w="0" w:type="dxa"/>
              <w:left w:w="45" w:type="dxa"/>
              <w:bottom w:w="0" w:type="dxa"/>
              <w:right w:w="45" w:type="dxa"/>
            </w:tcMar>
            <w:hideMark/>
          </w:tcPr>
          <w:p w14:paraId="7502E52B"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w:t>
            </w:r>
          </w:p>
        </w:tc>
        <w:tc>
          <w:tcPr>
            <w:tcW w:w="0" w:type="auto"/>
            <w:tcMar>
              <w:top w:w="0" w:type="dxa"/>
              <w:left w:w="45" w:type="dxa"/>
              <w:bottom w:w="0" w:type="dxa"/>
              <w:right w:w="45" w:type="dxa"/>
            </w:tcMar>
            <w:hideMark/>
          </w:tcPr>
          <w:p w14:paraId="0B1EA3E0"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Amount of monetary penalty</w:t>
            </w:r>
          </w:p>
        </w:tc>
        <w:tc>
          <w:tcPr>
            <w:tcW w:w="0" w:type="auto"/>
            <w:tcMar>
              <w:top w:w="0" w:type="dxa"/>
              <w:left w:w="45" w:type="dxa"/>
              <w:bottom w:w="0" w:type="dxa"/>
              <w:right w:w="45" w:type="dxa"/>
            </w:tcMar>
            <w:hideMark/>
          </w:tcPr>
          <w:p w14:paraId="31818897"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For quantifiable contraventions – a minimum penalty of Rs. 5 lakh.</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For non-quantifiable contraventions - a penalty of minimum Rs. 5 lakh with a maximum of Rs. 1 crore.</w:t>
            </w:r>
          </w:p>
        </w:tc>
        <w:tc>
          <w:tcPr>
            <w:tcW w:w="0" w:type="auto"/>
            <w:tcMar>
              <w:top w:w="0" w:type="dxa"/>
              <w:left w:w="45" w:type="dxa"/>
              <w:bottom w:w="0" w:type="dxa"/>
              <w:right w:w="45" w:type="dxa"/>
            </w:tcMar>
            <w:hideMark/>
          </w:tcPr>
          <w:p w14:paraId="5161D5E2"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Objective methodology dovetailed into a scoring matrix to determine the amount of penalty to be imposed, including action for non-compliance.</w:t>
            </w:r>
          </w:p>
        </w:tc>
        <w:tc>
          <w:tcPr>
            <w:tcW w:w="0" w:type="auto"/>
            <w:vAlign w:val="center"/>
            <w:hideMark/>
          </w:tcPr>
          <w:p w14:paraId="31570E74" w14:textId="77777777" w:rsidR="005309CD" w:rsidRPr="00C902C8" w:rsidRDefault="005309CD" w:rsidP="005309CD">
            <w:pPr>
              <w:spacing w:after="0" w:line="240" w:lineRule="auto"/>
              <w:jc w:val="both"/>
              <w:rPr>
                <w:rFonts w:ascii="Times New Roman" w:eastAsia="Times New Roman" w:hAnsi="Times New Roman" w:cs="Times New Roman"/>
                <w:sz w:val="24"/>
                <w:szCs w:val="24"/>
                <w:lang w:eastAsia="en-IN"/>
              </w:rPr>
            </w:pPr>
          </w:p>
        </w:tc>
      </w:tr>
      <w:tr w:rsidR="005309CD" w:rsidRPr="00C902C8" w14:paraId="5255F563" w14:textId="77777777" w:rsidTr="005309CD">
        <w:trPr>
          <w:jc w:val="center"/>
        </w:trPr>
        <w:tc>
          <w:tcPr>
            <w:tcW w:w="0" w:type="auto"/>
            <w:tcMar>
              <w:top w:w="0" w:type="dxa"/>
              <w:left w:w="45" w:type="dxa"/>
              <w:bottom w:w="0" w:type="dxa"/>
              <w:right w:w="45" w:type="dxa"/>
            </w:tcMar>
            <w:hideMark/>
          </w:tcPr>
          <w:p w14:paraId="62EE2667"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w:t>
            </w:r>
          </w:p>
        </w:tc>
        <w:tc>
          <w:tcPr>
            <w:tcW w:w="0" w:type="auto"/>
            <w:tcMar>
              <w:top w:w="0" w:type="dxa"/>
              <w:left w:w="45" w:type="dxa"/>
              <w:bottom w:w="0" w:type="dxa"/>
              <w:right w:w="45" w:type="dxa"/>
            </w:tcMar>
            <w:hideMark/>
          </w:tcPr>
          <w:p w14:paraId="654423FE"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Type of contraventions that can be compounded</w:t>
            </w:r>
          </w:p>
        </w:tc>
        <w:tc>
          <w:tcPr>
            <w:tcW w:w="0" w:type="auto"/>
            <w:tcMar>
              <w:top w:w="0" w:type="dxa"/>
              <w:left w:w="45" w:type="dxa"/>
              <w:bottom w:w="0" w:type="dxa"/>
              <w:right w:w="45" w:type="dxa"/>
            </w:tcMar>
            <w:hideMark/>
          </w:tcPr>
          <w:p w14:paraId="0225BAAB"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contraventions could be compounded.</w:t>
            </w:r>
          </w:p>
        </w:tc>
        <w:tc>
          <w:tcPr>
            <w:tcW w:w="0" w:type="auto"/>
            <w:tcMar>
              <w:top w:w="0" w:type="dxa"/>
              <w:left w:w="45" w:type="dxa"/>
              <w:bottom w:w="0" w:type="dxa"/>
              <w:right w:w="45" w:type="dxa"/>
            </w:tcMar>
            <w:hideMark/>
          </w:tcPr>
          <w:p w14:paraId="7C76DB1A" w14:textId="77777777" w:rsidR="005309CD" w:rsidRPr="00C902C8" w:rsidRDefault="005309CD" w:rsidP="005309CD">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offences mentioned in Section 26 of PSS Act, 2007 except those relating to sub-section 2 of Section 26, can be compounded.</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All eligible contraventions, irrespective of its nature of being quantifiable or non-quantifiable, shall be compounded.</w:t>
            </w:r>
          </w:p>
        </w:tc>
        <w:tc>
          <w:tcPr>
            <w:tcW w:w="0" w:type="auto"/>
            <w:vAlign w:val="center"/>
            <w:hideMark/>
          </w:tcPr>
          <w:p w14:paraId="76C0825C" w14:textId="77777777" w:rsidR="005309CD" w:rsidRPr="00C902C8" w:rsidRDefault="005309CD" w:rsidP="005309CD">
            <w:pPr>
              <w:spacing w:after="0" w:line="240" w:lineRule="auto"/>
              <w:jc w:val="both"/>
              <w:rPr>
                <w:rFonts w:ascii="Times New Roman" w:eastAsia="Times New Roman" w:hAnsi="Times New Roman" w:cs="Times New Roman"/>
                <w:sz w:val="24"/>
                <w:szCs w:val="24"/>
                <w:lang w:eastAsia="en-IN"/>
              </w:rPr>
            </w:pPr>
          </w:p>
        </w:tc>
      </w:tr>
    </w:tbl>
    <w:p w14:paraId="46B3BB72" w14:textId="77777777" w:rsidR="005309CD" w:rsidRPr="00C902C8" w:rsidRDefault="005309CD" w:rsidP="005309CD">
      <w:pPr>
        <w:spacing w:after="0" w:line="240" w:lineRule="auto"/>
        <w:jc w:val="both"/>
        <w:rPr>
          <w:rFonts w:ascii="Times New Roman" w:hAnsi="Times New Roman" w:cs="Times New Roman"/>
          <w:b/>
          <w:bCs/>
          <w:sz w:val="24"/>
          <w:szCs w:val="24"/>
        </w:rPr>
      </w:pPr>
    </w:p>
    <w:p w14:paraId="1D333118" w14:textId="0D05A895"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2</w:t>
      </w:r>
    </w:p>
    <w:p w14:paraId="4FEF1C7E" w14:textId="77777777" w:rsidR="005309CD" w:rsidRPr="00C902C8" w:rsidRDefault="005309CD" w:rsidP="005309CD">
      <w:pPr>
        <w:spacing w:after="0" w:line="240" w:lineRule="auto"/>
        <w:jc w:val="both"/>
        <w:rPr>
          <w:rFonts w:ascii="Times New Roman" w:hAnsi="Times New Roman" w:cs="Times New Roman"/>
          <w:sz w:val="24"/>
          <w:szCs w:val="24"/>
        </w:rPr>
      </w:pPr>
    </w:p>
    <w:p w14:paraId="2324DF26"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Offences and Penalties</w:t>
      </w:r>
    </w:p>
    <w:p w14:paraId="58917252" w14:textId="77777777" w:rsidR="005309CD" w:rsidRPr="00C902C8" w:rsidRDefault="005309CD" w:rsidP="005309CD">
      <w:pPr>
        <w:spacing w:after="0" w:line="240" w:lineRule="auto"/>
        <w:jc w:val="both"/>
        <w:rPr>
          <w:rFonts w:ascii="Times New Roman" w:hAnsi="Times New Roman" w:cs="Times New Roman"/>
          <w:sz w:val="24"/>
          <w:szCs w:val="24"/>
        </w:rPr>
      </w:pPr>
    </w:p>
    <w:p w14:paraId="5EDB927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1.1 Section 26 of the Payment and Settlement Systems (PSS) Act, 2007 defines the following activities as offences, which are punishable with imprisonment or fine or both:</w:t>
      </w:r>
    </w:p>
    <w:p w14:paraId="289002C1" w14:textId="77777777" w:rsidR="005309CD" w:rsidRPr="00C902C8" w:rsidRDefault="005309CD" w:rsidP="005309CD">
      <w:pPr>
        <w:spacing w:after="0" w:line="240" w:lineRule="auto"/>
        <w:jc w:val="both"/>
        <w:rPr>
          <w:rFonts w:ascii="Times New Roman" w:hAnsi="Times New Roman" w:cs="Times New Roman"/>
          <w:sz w:val="24"/>
          <w:szCs w:val="24"/>
        </w:rPr>
      </w:pPr>
    </w:p>
    <w:p w14:paraId="37C6802E"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operation of a payment system without authorisation by RBI;</w:t>
      </w:r>
    </w:p>
    <w:p w14:paraId="553024EC"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subject to which authorisation was issued;</w:t>
      </w:r>
    </w:p>
    <w:p w14:paraId="33056520"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to submit a material statement in any application for authorisation or return or other document;</w:t>
      </w:r>
    </w:p>
    <w:p w14:paraId="71054BF9"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any statement, information, returns or documents;</w:t>
      </w:r>
    </w:p>
    <w:p w14:paraId="73407701"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prohibited information;</w:t>
      </w:r>
    </w:p>
    <w:p w14:paraId="0B2262C5"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of RBI directions or failure to pay the penalty imposed by RBI; and</w:t>
      </w:r>
    </w:p>
    <w:p w14:paraId="4133C75B" w14:textId="77777777" w:rsidR="005309CD" w:rsidRPr="00C902C8" w:rsidRDefault="005309CD" w:rsidP="005309CD">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order or direction made or given thereunder, in respect of which no penalty has been specified.</w:t>
      </w:r>
    </w:p>
    <w:p w14:paraId="7A73B2D7" w14:textId="77777777" w:rsidR="005309CD" w:rsidRPr="00C902C8" w:rsidRDefault="005309CD" w:rsidP="005309CD">
      <w:pPr>
        <w:spacing w:after="0" w:line="240" w:lineRule="auto"/>
        <w:jc w:val="both"/>
        <w:rPr>
          <w:rFonts w:ascii="Times New Roman" w:hAnsi="Times New Roman" w:cs="Times New Roman"/>
          <w:sz w:val="24"/>
          <w:szCs w:val="24"/>
        </w:rPr>
      </w:pPr>
    </w:p>
    <w:p w14:paraId="43A0D891"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Powers of RBI to impose fine</w:t>
      </w:r>
    </w:p>
    <w:p w14:paraId="0CA11343" w14:textId="77777777" w:rsidR="005309CD" w:rsidRPr="00C902C8" w:rsidRDefault="005309CD" w:rsidP="005309CD">
      <w:pPr>
        <w:spacing w:after="0" w:line="240" w:lineRule="auto"/>
        <w:jc w:val="both"/>
        <w:rPr>
          <w:rFonts w:ascii="Times New Roman" w:hAnsi="Times New Roman" w:cs="Times New Roman"/>
          <w:sz w:val="24"/>
          <w:szCs w:val="24"/>
        </w:rPr>
      </w:pPr>
    </w:p>
    <w:p w14:paraId="1A6CA9F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Section 30 of the PSS Act, RBI is empowered to impose a penalty not exceeding ₹ 5 lakh or twice the amount involved in such contravention or default where such amount is quantifiable, whichever is more, in case of contraventions / defaults of the nature mentioned in Section 26 (2) and 26 (6) of the Act. Further, if such contravention or default is a continuing one, a further penalty up to ₹ 25,000/- for every day after the first during which the contravention or default continues, can be imposed.</w:t>
      </w:r>
    </w:p>
    <w:p w14:paraId="55C20EAC" w14:textId="77777777" w:rsidR="005309CD" w:rsidRPr="00C902C8" w:rsidRDefault="005309CD" w:rsidP="005309CD">
      <w:pPr>
        <w:spacing w:after="0" w:line="240" w:lineRule="auto"/>
        <w:jc w:val="both"/>
        <w:rPr>
          <w:rFonts w:ascii="Times New Roman" w:hAnsi="Times New Roman" w:cs="Times New Roman"/>
          <w:sz w:val="24"/>
          <w:szCs w:val="24"/>
        </w:rPr>
      </w:pPr>
    </w:p>
    <w:p w14:paraId="10B9CC6E"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3. Powers of RBI to compound offences</w:t>
      </w:r>
    </w:p>
    <w:p w14:paraId="42E459AC" w14:textId="77777777" w:rsidR="005309CD" w:rsidRPr="00C902C8" w:rsidRDefault="005309CD" w:rsidP="005309CD">
      <w:pPr>
        <w:spacing w:after="0" w:line="240" w:lineRule="auto"/>
        <w:jc w:val="both"/>
        <w:rPr>
          <w:rFonts w:ascii="Times New Roman" w:hAnsi="Times New Roman" w:cs="Times New Roman"/>
          <w:sz w:val="24"/>
          <w:szCs w:val="24"/>
        </w:rPr>
      </w:pPr>
    </w:p>
    <w:p w14:paraId="4D5100C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Section 31 of PSS Act empowers RBI to compound contraventions of any of the punishable offences under the Act, not being an offence punishable with imprisonment / imprisonment and fine.</w:t>
      </w:r>
    </w:p>
    <w:p w14:paraId="37980F0A" w14:textId="77777777" w:rsidR="005309CD" w:rsidRPr="00C902C8" w:rsidRDefault="005309CD" w:rsidP="005309CD">
      <w:pPr>
        <w:spacing w:after="0" w:line="240" w:lineRule="auto"/>
        <w:jc w:val="both"/>
        <w:rPr>
          <w:rFonts w:ascii="Times New Roman" w:hAnsi="Times New Roman" w:cs="Times New Roman"/>
          <w:sz w:val="24"/>
          <w:szCs w:val="24"/>
        </w:rPr>
      </w:pPr>
    </w:p>
    <w:p w14:paraId="5F85BB5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With the continuous evolution and increased pace of development of payment landscape in the country, including the entry of non-bank players leveraging the technological developments, and the consequent requirement to ensure safe, secure and efficient payment systems, a need was felt to review the entire process of levy of penalty so as to ensure the efficacy of implementation of various RBI directions and regulations.</w:t>
      </w:r>
    </w:p>
    <w:p w14:paraId="286FCD3F" w14:textId="77777777" w:rsidR="005309CD" w:rsidRPr="00C902C8" w:rsidRDefault="005309CD" w:rsidP="005309CD">
      <w:pPr>
        <w:spacing w:after="0" w:line="240" w:lineRule="auto"/>
        <w:jc w:val="both"/>
        <w:rPr>
          <w:rFonts w:ascii="Times New Roman" w:hAnsi="Times New Roman" w:cs="Times New Roman"/>
          <w:sz w:val="24"/>
          <w:szCs w:val="24"/>
        </w:rPr>
      </w:pPr>
    </w:p>
    <w:p w14:paraId="6421B3E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Accordingly, the entire process has been reviewed and a revised framework, as briefed below, is being put in place with immediate effect.</w:t>
      </w:r>
    </w:p>
    <w:p w14:paraId="7C000387" w14:textId="77777777" w:rsidR="005309CD" w:rsidRPr="00C902C8" w:rsidRDefault="005309CD" w:rsidP="005309CD">
      <w:pPr>
        <w:spacing w:after="0" w:line="240" w:lineRule="auto"/>
        <w:jc w:val="both"/>
        <w:rPr>
          <w:rFonts w:ascii="Times New Roman" w:hAnsi="Times New Roman" w:cs="Times New Roman"/>
          <w:sz w:val="24"/>
          <w:szCs w:val="24"/>
        </w:rPr>
      </w:pPr>
    </w:p>
    <w:p w14:paraId="279444FC"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Principles for imposing monetary penalty / compounding a contravention</w:t>
      </w:r>
    </w:p>
    <w:p w14:paraId="7E274398" w14:textId="77777777" w:rsidR="005309CD" w:rsidRPr="00C902C8" w:rsidRDefault="005309CD" w:rsidP="005309CD">
      <w:pPr>
        <w:spacing w:after="0" w:line="240" w:lineRule="auto"/>
        <w:jc w:val="both"/>
        <w:rPr>
          <w:rFonts w:ascii="Times New Roman" w:hAnsi="Times New Roman" w:cs="Times New Roman"/>
          <w:sz w:val="24"/>
          <w:szCs w:val="24"/>
        </w:rPr>
      </w:pPr>
    </w:p>
    <w:p w14:paraId="43592C6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6.1 Following factors will be considered for determining the materiality of a contravention, whether on account of those identified by RBI or a compounding application from the contravener:</w:t>
      </w:r>
    </w:p>
    <w:p w14:paraId="4F0A6EDF" w14:textId="77777777" w:rsidR="005309CD" w:rsidRPr="00C902C8" w:rsidRDefault="005309CD" w:rsidP="005309CD">
      <w:pPr>
        <w:spacing w:after="0" w:line="240" w:lineRule="auto"/>
        <w:jc w:val="both"/>
        <w:rPr>
          <w:rFonts w:ascii="Times New Roman" w:hAnsi="Times New Roman" w:cs="Times New Roman"/>
          <w:sz w:val="24"/>
          <w:szCs w:val="24"/>
        </w:rPr>
      </w:pPr>
    </w:p>
    <w:p w14:paraId="5E4C44F7" w14:textId="77777777" w:rsidR="005309CD" w:rsidRPr="00C902C8" w:rsidRDefault="005309CD" w:rsidP="005309CD">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Severity of contravention in terms of degree of breach of norms/limits (isolated, localised, extensive, widespread);</w:t>
      </w:r>
    </w:p>
    <w:p w14:paraId="2EFE9D69" w14:textId="77777777" w:rsidR="005309CD" w:rsidRPr="00C902C8" w:rsidRDefault="005309CD" w:rsidP="005309CD">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Period and frequency of a similar contravention during the past 5 years;</w:t>
      </w:r>
    </w:p>
    <w:p w14:paraId="78E98B46" w14:textId="77777777" w:rsidR="005309CD" w:rsidRPr="00C902C8" w:rsidRDefault="005309CD" w:rsidP="005309CD">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Seriousness of the contravention; Percentage of amount involved in the contravention vis-à-vis total value of transactions handled by the contravener during the period under consideration;</w:t>
      </w:r>
    </w:p>
    <w:p w14:paraId="3290FD3C" w14:textId="77777777" w:rsidR="005309CD" w:rsidRPr="00C902C8" w:rsidRDefault="005309CD" w:rsidP="005309CD">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Amount involved in the contravention; and</w:t>
      </w:r>
    </w:p>
    <w:p w14:paraId="7F4FA38F" w14:textId="77777777" w:rsidR="005309CD" w:rsidRPr="00C902C8" w:rsidRDefault="005309CD" w:rsidP="005309CD">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wrong / false / incomplete compliance.</w:t>
      </w:r>
    </w:p>
    <w:p w14:paraId="2D42B111" w14:textId="77777777" w:rsidR="005309CD" w:rsidRPr="00C902C8" w:rsidRDefault="005309CD" w:rsidP="005309CD">
      <w:pPr>
        <w:spacing w:after="0" w:line="240" w:lineRule="auto"/>
        <w:jc w:val="both"/>
        <w:rPr>
          <w:rFonts w:ascii="Times New Roman" w:hAnsi="Times New Roman" w:cs="Times New Roman"/>
          <w:sz w:val="24"/>
          <w:szCs w:val="24"/>
        </w:rPr>
      </w:pPr>
    </w:p>
    <w:p w14:paraId="728FA66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6.2 Following factors will be considered for determining the amount of monetary penalty to be imposed on any entity, resulting from 6.1 above:</w:t>
      </w:r>
    </w:p>
    <w:p w14:paraId="0BF087DB" w14:textId="77777777" w:rsidR="005309CD" w:rsidRPr="00C902C8" w:rsidRDefault="005309CD" w:rsidP="005309CD">
      <w:pPr>
        <w:spacing w:after="0" w:line="240" w:lineRule="auto"/>
        <w:jc w:val="both"/>
        <w:rPr>
          <w:rFonts w:ascii="Times New Roman" w:hAnsi="Times New Roman" w:cs="Times New Roman"/>
          <w:sz w:val="24"/>
          <w:szCs w:val="24"/>
        </w:rPr>
      </w:pPr>
    </w:p>
    <w:p w14:paraId="25989189" w14:textId="77777777" w:rsidR="005309CD" w:rsidRPr="00C902C8" w:rsidRDefault="005309CD" w:rsidP="005309CD">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gain or unfair advantage, wherever quantifiable, accruing to the contravener as a result of the contravention;</w:t>
      </w:r>
    </w:p>
    <w:p w14:paraId="6913F85A" w14:textId="77777777" w:rsidR="005309CD" w:rsidRPr="00C902C8" w:rsidRDefault="005309CD" w:rsidP="005309CD">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loss caused to any other authority / agency / exchequer and / or to any other market participant;</w:t>
      </w:r>
    </w:p>
    <w:p w14:paraId="3E2B8EC1" w14:textId="77777777" w:rsidR="005309CD" w:rsidRPr="00C902C8" w:rsidRDefault="005309CD" w:rsidP="005309CD">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Monetary benefits accruing to the contravener from delayed / non-compliance;</w:t>
      </w:r>
    </w:p>
    <w:p w14:paraId="281057D5" w14:textId="77777777" w:rsidR="005309CD" w:rsidRPr="00C902C8" w:rsidRDefault="005309CD" w:rsidP="005309CD">
      <w:pPr>
        <w:spacing w:after="0" w:line="240" w:lineRule="auto"/>
        <w:jc w:val="both"/>
        <w:rPr>
          <w:rFonts w:ascii="Times New Roman" w:hAnsi="Times New Roman" w:cs="Times New Roman"/>
          <w:sz w:val="24"/>
          <w:szCs w:val="24"/>
        </w:rPr>
      </w:pPr>
    </w:p>
    <w:p w14:paraId="1606586E"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7. Imposition of monetary penalty for RBI identified contraventions</w:t>
      </w:r>
    </w:p>
    <w:p w14:paraId="0C7B2378" w14:textId="77777777" w:rsidR="005309CD" w:rsidRPr="00C902C8" w:rsidRDefault="005309CD" w:rsidP="005309CD">
      <w:pPr>
        <w:spacing w:after="0" w:line="240" w:lineRule="auto"/>
        <w:jc w:val="both"/>
        <w:rPr>
          <w:rFonts w:ascii="Times New Roman" w:hAnsi="Times New Roman" w:cs="Times New Roman"/>
          <w:sz w:val="24"/>
          <w:szCs w:val="24"/>
        </w:rPr>
      </w:pPr>
    </w:p>
    <w:p w14:paraId="6B0C6C36"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is as under:</w:t>
      </w:r>
    </w:p>
    <w:p w14:paraId="56A0479B" w14:textId="77777777" w:rsidR="005309CD" w:rsidRPr="00C902C8" w:rsidRDefault="005309CD" w:rsidP="005309CD">
      <w:pPr>
        <w:spacing w:after="0" w:line="240" w:lineRule="auto"/>
        <w:jc w:val="both"/>
        <w:rPr>
          <w:rFonts w:ascii="Times New Roman" w:hAnsi="Times New Roman" w:cs="Times New Roman"/>
          <w:sz w:val="24"/>
          <w:szCs w:val="24"/>
        </w:rPr>
      </w:pPr>
    </w:p>
    <w:p w14:paraId="5DE7E60A"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of a material statement to RBI;</w:t>
      </w:r>
    </w:p>
    <w:p w14:paraId="2470FA95"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w:t>
      </w:r>
    </w:p>
    <w:p w14:paraId="1D49DDA7"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directions / instructions made thereunder;</w:t>
      </w:r>
    </w:p>
    <w:p w14:paraId="35C919FF"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net worth requirements, etc.</w:t>
      </w:r>
    </w:p>
    <w:p w14:paraId="7EF72CAA"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with Know Your Customer (KYC) and Anti-Money Laundering (AML) norms;</w:t>
      </w:r>
    </w:p>
    <w:p w14:paraId="6B797E93"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 / escrow accounts;</w:t>
      </w:r>
    </w:p>
    <w:p w14:paraId="2EF9C151"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3E7A1A44"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6D4E745F" w14:textId="77777777" w:rsidR="005309CD" w:rsidRPr="00C902C8" w:rsidRDefault="005309CD" w:rsidP="005309CD">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75D36043" w14:textId="77777777" w:rsidR="005309CD" w:rsidRPr="00C902C8" w:rsidRDefault="005309CD" w:rsidP="005309CD">
      <w:pPr>
        <w:spacing w:after="0" w:line="240" w:lineRule="auto"/>
        <w:jc w:val="both"/>
        <w:rPr>
          <w:rFonts w:ascii="Times New Roman" w:hAnsi="Times New Roman" w:cs="Times New Roman"/>
          <w:sz w:val="24"/>
          <w:szCs w:val="24"/>
        </w:rPr>
      </w:pPr>
    </w:p>
    <w:p w14:paraId="4920DF01"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 Designated authority to impose penalty</w:t>
      </w:r>
    </w:p>
    <w:p w14:paraId="0D17FC2A" w14:textId="77777777" w:rsidR="005309CD" w:rsidRPr="00C902C8" w:rsidRDefault="005309CD" w:rsidP="005309CD">
      <w:pPr>
        <w:spacing w:after="0" w:line="240" w:lineRule="auto"/>
        <w:jc w:val="both"/>
        <w:rPr>
          <w:rFonts w:ascii="Times New Roman" w:hAnsi="Times New Roman" w:cs="Times New Roman"/>
          <w:sz w:val="24"/>
          <w:szCs w:val="24"/>
        </w:rPr>
      </w:pPr>
    </w:p>
    <w:p w14:paraId="6C317FB7" w14:textId="77777777" w:rsidR="005309CD" w:rsidRPr="00C902C8" w:rsidRDefault="005309CD" w:rsidP="005309CD">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quantifiable contraventions, a Committee of Senior Officers, comprising of the Chief General Manager / Officer-in-Charge, Department of Payment and Settlement Systems (DPSS), Central Office and senior officers from two other Departments of RBI, shall be the designated authority.</w:t>
      </w:r>
    </w:p>
    <w:p w14:paraId="41FD92FB" w14:textId="77777777" w:rsidR="005309CD" w:rsidRPr="00C902C8" w:rsidRDefault="005309CD" w:rsidP="005309CD">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non-quantifiable contraventions, a Committee, comprising of ED in-Charge of DPSS and Chief General Managers from two other Departments of RBI (Committee of CGMs), shall be the designated authority.</w:t>
      </w:r>
    </w:p>
    <w:p w14:paraId="37FC78A2" w14:textId="77777777" w:rsidR="005309CD" w:rsidRPr="00C902C8" w:rsidRDefault="005309CD" w:rsidP="005309CD">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contraventions, partly quantifiable and partly non-quantifiable, the Committee of CGMs shall be the designated authority.</w:t>
      </w:r>
    </w:p>
    <w:p w14:paraId="6BACA355" w14:textId="77777777" w:rsidR="005309CD" w:rsidRPr="00C902C8" w:rsidRDefault="005309CD" w:rsidP="005309CD">
      <w:pPr>
        <w:spacing w:after="0" w:line="240" w:lineRule="auto"/>
        <w:jc w:val="both"/>
        <w:rPr>
          <w:rFonts w:ascii="Times New Roman" w:hAnsi="Times New Roman" w:cs="Times New Roman"/>
          <w:sz w:val="24"/>
          <w:szCs w:val="24"/>
        </w:rPr>
      </w:pPr>
    </w:p>
    <w:p w14:paraId="5902F4D4"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Procedure for imposing penalty</w:t>
      </w:r>
    </w:p>
    <w:p w14:paraId="61775A15" w14:textId="77777777" w:rsidR="005309CD" w:rsidRPr="00C902C8" w:rsidRDefault="005309CD" w:rsidP="005309CD">
      <w:pPr>
        <w:spacing w:after="0" w:line="240" w:lineRule="auto"/>
        <w:jc w:val="both"/>
        <w:rPr>
          <w:rFonts w:ascii="Times New Roman" w:hAnsi="Times New Roman" w:cs="Times New Roman"/>
          <w:sz w:val="24"/>
          <w:szCs w:val="24"/>
          <w:u w:val="single"/>
        </w:rPr>
      </w:pPr>
    </w:p>
    <w:p w14:paraId="3AC7B524" w14:textId="77777777" w:rsidR="005309CD" w:rsidRPr="00C902C8" w:rsidRDefault="005309CD" w:rsidP="005309CD">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Call for information</w:t>
      </w:r>
      <w:r w:rsidRPr="00C902C8">
        <w:rPr>
          <w:rFonts w:ascii="Times New Roman" w:hAnsi="Times New Roman" w:cs="Times New Roman"/>
          <w:sz w:val="24"/>
          <w:szCs w:val="24"/>
        </w:rPr>
        <w:t>: On receipt of information on a contravention, RBI may call for additional information from the contravener.</w:t>
      </w:r>
    </w:p>
    <w:p w14:paraId="1A7CF3EE" w14:textId="77777777" w:rsidR="005309CD" w:rsidRPr="00C902C8" w:rsidRDefault="005309CD" w:rsidP="005309CD">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Explanation Letter</w:t>
      </w:r>
      <w:r w:rsidRPr="00C902C8">
        <w:rPr>
          <w:rFonts w:ascii="Times New Roman" w:hAnsi="Times New Roman" w:cs="Times New Roman"/>
          <w:sz w:val="24"/>
          <w:szCs w:val="24"/>
        </w:rPr>
        <w:t>: On identification of a contravention, a letter calling for explanation would be issued to the contravener.</w:t>
      </w:r>
    </w:p>
    <w:p w14:paraId="46A6C0BC" w14:textId="77777777" w:rsidR="005309CD" w:rsidRPr="00C902C8" w:rsidRDefault="005309CD" w:rsidP="005309CD">
      <w:pPr>
        <w:pStyle w:val="ListParagraph"/>
        <w:numPr>
          <w:ilvl w:val="0"/>
          <w:numId w:val="14"/>
        </w:num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Show Cause Notice (SCN):</w:t>
      </w:r>
    </w:p>
    <w:p w14:paraId="063CCCE2" w14:textId="77777777" w:rsidR="005309CD" w:rsidRPr="00C902C8" w:rsidRDefault="005309CD" w:rsidP="005309CD">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lastRenderedPageBreak/>
        <w:t>If the RBI is not satisfied with the reasons / explanations furnished by the contravener, an SCN may be issued based on the parameters mentioned in para 6.1 above, advising the contravener to show cause as to why the amount specified in the notice should not be imposed as penalty. For the purpose, a matrix has been formulated to derive a weighted score based on certain parameters.</w:t>
      </w:r>
    </w:p>
    <w:p w14:paraId="658CB2BF" w14:textId="77777777" w:rsidR="005309CD" w:rsidRPr="00C902C8" w:rsidRDefault="005309CD" w:rsidP="005309CD">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In cases where a contravener has already been issued with more than one Cautionary / Warning / Displeasure letters for a particular type of contravention by RBI on earlier occasions of contraventions during the last 5 years, an SCN shall be issued on the subsequent occasion/s irrespective of the overall weighted score arrived at.</w:t>
      </w:r>
    </w:p>
    <w:p w14:paraId="61B22F83" w14:textId="77777777" w:rsidR="005309CD" w:rsidRPr="00C902C8" w:rsidRDefault="005309CD" w:rsidP="005309CD">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Personal Hearing</w:t>
      </w:r>
      <w:r w:rsidRPr="00C902C8">
        <w:rPr>
          <w:rFonts w:ascii="Times New Roman" w:hAnsi="Times New Roman" w:cs="Times New Roman"/>
          <w:sz w:val="24"/>
          <w:szCs w:val="24"/>
        </w:rPr>
        <w:t>: The contravener shall be provided with a reasonable opportunity of being heard, if requested by the contravener in reply to the SCN.</w:t>
      </w:r>
    </w:p>
    <w:p w14:paraId="0BD5A489" w14:textId="77777777" w:rsidR="005309CD" w:rsidRPr="00C902C8" w:rsidRDefault="005309CD" w:rsidP="005309CD">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Speaking Order</w:t>
      </w:r>
      <w:r w:rsidRPr="00C902C8">
        <w:rPr>
          <w:rFonts w:ascii="Times New Roman" w:hAnsi="Times New Roman" w:cs="Times New Roman"/>
          <w:sz w:val="24"/>
          <w:szCs w:val="24"/>
        </w:rPr>
        <w:t>: The Designated Authority shall pass a Speaking Order based on the information and supportive documents presented by the contravener and also the submissions made in this connection by them during the personal hearing.</w:t>
      </w:r>
    </w:p>
    <w:p w14:paraId="1E15DD7C" w14:textId="77777777" w:rsidR="005309CD" w:rsidRPr="00C902C8" w:rsidRDefault="005309CD" w:rsidP="005309CD">
      <w:pPr>
        <w:spacing w:after="0" w:line="240" w:lineRule="auto"/>
        <w:jc w:val="both"/>
        <w:rPr>
          <w:rFonts w:ascii="Times New Roman" w:hAnsi="Times New Roman" w:cs="Times New Roman"/>
          <w:sz w:val="24"/>
          <w:szCs w:val="24"/>
        </w:rPr>
      </w:pPr>
    </w:p>
    <w:p w14:paraId="47DE9CFD"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Amount of monetary penalty:</w:t>
      </w:r>
    </w:p>
    <w:p w14:paraId="42395F91" w14:textId="77777777" w:rsidR="005309CD" w:rsidRPr="00C902C8" w:rsidRDefault="005309CD" w:rsidP="005309CD">
      <w:pPr>
        <w:spacing w:after="0" w:line="240" w:lineRule="auto"/>
        <w:jc w:val="both"/>
        <w:rPr>
          <w:rFonts w:ascii="Times New Roman" w:hAnsi="Times New Roman" w:cs="Times New Roman"/>
          <w:sz w:val="24"/>
          <w:szCs w:val="24"/>
        </w:rPr>
      </w:pPr>
    </w:p>
    <w:p w14:paraId="2E14065C" w14:textId="77777777" w:rsidR="005309CD" w:rsidRPr="00C902C8" w:rsidRDefault="005309CD" w:rsidP="005309CD">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may vary depending on impact on account of various factors.</w:t>
      </w:r>
    </w:p>
    <w:p w14:paraId="5144B23D" w14:textId="77777777" w:rsidR="005309CD" w:rsidRPr="00C902C8" w:rsidRDefault="005309CD" w:rsidP="005309CD">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for a contravention shall not exceed ₹ 5 lakh or double the amount of contravention, whichever is higher, where such amount is quantifiable. For non-quantifiable contravention, the maximum penalty shall be ₹ 5 lakh per contravention.</w:t>
      </w:r>
    </w:p>
    <w:p w14:paraId="5376BE8D" w14:textId="77777777" w:rsidR="005309CD" w:rsidRPr="00C902C8" w:rsidRDefault="005309CD" w:rsidP="005309CD">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Matrix has been formulated for determining the amount of penalty. The actual amount may vary depending on the circumstances of the cases.</w:t>
      </w:r>
    </w:p>
    <w:p w14:paraId="0D7912C0" w14:textId="77777777" w:rsidR="005309CD" w:rsidRPr="00C902C8" w:rsidRDefault="005309CD" w:rsidP="005309CD">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penalty, after considering the mitigating factors, may differ depending upon the extent of overall weighted score, as given in Appendix 1. In case where the amount of resultant penalty may affect the viability of the contravener or otherwise disproportionate or unfair, or even where neither the extent of impact nor the intent of committing the contravention is clearly established, the designated authority may exercise its discretionary power and take a fair view to either reduce or impose an appropriate amount of penalty, subject to statutory limits.</w:t>
      </w:r>
    </w:p>
    <w:p w14:paraId="78D0F5F6" w14:textId="77777777" w:rsidR="005309CD" w:rsidRPr="00C902C8" w:rsidRDefault="005309CD" w:rsidP="005309CD">
      <w:pPr>
        <w:spacing w:after="0" w:line="240" w:lineRule="auto"/>
        <w:jc w:val="both"/>
        <w:rPr>
          <w:rFonts w:ascii="Times New Roman" w:hAnsi="Times New Roman" w:cs="Times New Roman"/>
          <w:sz w:val="24"/>
          <w:szCs w:val="24"/>
        </w:rPr>
      </w:pPr>
    </w:p>
    <w:p w14:paraId="0378D0A3"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Payment of monetary penalty:</w:t>
      </w:r>
    </w:p>
    <w:p w14:paraId="4CE8B0D7" w14:textId="77777777" w:rsidR="005309CD" w:rsidRPr="00C902C8" w:rsidRDefault="005309CD" w:rsidP="005309CD">
      <w:pPr>
        <w:spacing w:after="0" w:line="240" w:lineRule="auto"/>
        <w:jc w:val="both"/>
        <w:rPr>
          <w:rFonts w:ascii="Times New Roman" w:hAnsi="Times New Roman" w:cs="Times New Roman"/>
          <w:sz w:val="24"/>
          <w:szCs w:val="24"/>
        </w:rPr>
      </w:pPr>
    </w:p>
    <w:p w14:paraId="15D507B8" w14:textId="77777777" w:rsidR="005309CD" w:rsidRPr="00C902C8" w:rsidRDefault="005309CD" w:rsidP="005309CD">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monetary penalty shall be payable within a period of thirty days from the date of the order.</w:t>
      </w:r>
    </w:p>
    <w:p w14:paraId="2895C8A1" w14:textId="77777777" w:rsidR="005309CD" w:rsidRPr="00C902C8" w:rsidRDefault="005309CD" w:rsidP="005309CD">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in payment of penalty amount, RBI will initiate appropriate action against the contravener as per Section 8 or Section 30 (3) or Section 33 of PSS Act.</w:t>
      </w:r>
    </w:p>
    <w:p w14:paraId="153E9777" w14:textId="77777777" w:rsidR="005309CD" w:rsidRPr="00C902C8" w:rsidRDefault="005309CD" w:rsidP="005309CD">
      <w:pPr>
        <w:spacing w:after="0" w:line="240" w:lineRule="auto"/>
        <w:jc w:val="both"/>
        <w:rPr>
          <w:rFonts w:ascii="Times New Roman" w:hAnsi="Times New Roman" w:cs="Times New Roman"/>
          <w:sz w:val="24"/>
          <w:szCs w:val="24"/>
        </w:rPr>
      </w:pPr>
    </w:p>
    <w:p w14:paraId="1D4574F1"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Disclosure:</w:t>
      </w:r>
    </w:p>
    <w:p w14:paraId="0CA40AAF" w14:textId="77777777" w:rsidR="005309CD" w:rsidRPr="00C902C8" w:rsidRDefault="005309CD" w:rsidP="005309CD">
      <w:pPr>
        <w:spacing w:after="0" w:line="240" w:lineRule="auto"/>
        <w:jc w:val="both"/>
        <w:rPr>
          <w:rFonts w:ascii="Times New Roman" w:hAnsi="Times New Roman" w:cs="Times New Roman"/>
          <w:sz w:val="24"/>
          <w:szCs w:val="24"/>
        </w:rPr>
      </w:pPr>
    </w:p>
    <w:p w14:paraId="0C3A99D8" w14:textId="77777777" w:rsidR="005309CD" w:rsidRPr="00C902C8" w:rsidRDefault="005309CD" w:rsidP="005309CD">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entities shall disclose the details of monetary penalty paid in their Notes to Accounts that are part of Annual Financial Statements for the financial year in which the penalty is levied.</w:t>
      </w:r>
    </w:p>
    <w:p w14:paraId="3F2CA4C6" w14:textId="77777777" w:rsidR="005309CD" w:rsidRPr="00C902C8" w:rsidRDefault="005309CD" w:rsidP="005309CD">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 shall disclose the penalty levied on its website.</w:t>
      </w:r>
    </w:p>
    <w:p w14:paraId="2EBA0756" w14:textId="77777777" w:rsidR="005309CD" w:rsidRPr="00C902C8" w:rsidRDefault="005309CD" w:rsidP="005309CD">
      <w:pPr>
        <w:spacing w:after="0" w:line="240" w:lineRule="auto"/>
        <w:jc w:val="both"/>
        <w:rPr>
          <w:rFonts w:ascii="Times New Roman" w:hAnsi="Times New Roman" w:cs="Times New Roman"/>
          <w:sz w:val="24"/>
          <w:szCs w:val="24"/>
        </w:rPr>
      </w:pPr>
    </w:p>
    <w:p w14:paraId="31B84C0E"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8. Compounding of contraventions</w:t>
      </w:r>
    </w:p>
    <w:p w14:paraId="064A7873" w14:textId="77777777" w:rsidR="005309CD" w:rsidRPr="00C902C8" w:rsidRDefault="005309CD" w:rsidP="005309CD">
      <w:pPr>
        <w:spacing w:after="0" w:line="240" w:lineRule="auto"/>
        <w:jc w:val="both"/>
        <w:rPr>
          <w:rFonts w:ascii="Times New Roman" w:hAnsi="Times New Roman" w:cs="Times New Roman"/>
          <w:sz w:val="24"/>
          <w:szCs w:val="24"/>
        </w:rPr>
      </w:pPr>
    </w:p>
    <w:p w14:paraId="71FB9291"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for compounding, is as under:</w:t>
      </w:r>
    </w:p>
    <w:p w14:paraId="5B32A6C1" w14:textId="77777777" w:rsidR="005309CD" w:rsidRPr="00C902C8" w:rsidRDefault="005309CD" w:rsidP="005309CD">
      <w:pPr>
        <w:spacing w:after="0" w:line="240" w:lineRule="auto"/>
        <w:jc w:val="both"/>
        <w:rPr>
          <w:rFonts w:ascii="Times New Roman" w:hAnsi="Times New Roman" w:cs="Times New Roman"/>
          <w:sz w:val="24"/>
          <w:szCs w:val="24"/>
        </w:rPr>
      </w:pPr>
    </w:p>
    <w:p w14:paraId="41343179"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of authorisation issued by RBI;</w:t>
      </w:r>
    </w:p>
    <w:p w14:paraId="0A5AD65D"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 furnish any statement, information, returns or other documents to RBI or answer any question relating to the operation of payment system;</w:t>
      </w:r>
    </w:p>
    <w:p w14:paraId="59DE545F"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information prohibited under Section 22 of PSS Act;</w:t>
      </w:r>
    </w:p>
    <w:p w14:paraId="4157AF42"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 contravention of any provisions of the Act / Regulation / order / directions made or given in respect of which no penalty has been specified in the Act;</w:t>
      </w:r>
    </w:p>
    <w:p w14:paraId="5BEB3C49"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Violations of KYC / AML norms;</w:t>
      </w:r>
    </w:p>
    <w:p w14:paraId="6A749708"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 (other than an act punishable under sub-section 2 of Section 26)</w:t>
      </w:r>
    </w:p>
    <w:p w14:paraId="15D2F7EF"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nodal/escrow accounts;</w:t>
      </w:r>
    </w:p>
    <w:p w14:paraId="597E401F"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5B6EDD38"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4729A621" w14:textId="77777777" w:rsidR="005309CD" w:rsidRPr="00C902C8" w:rsidRDefault="005309CD" w:rsidP="005309CD">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23D71256" w14:textId="77777777" w:rsidR="005309CD" w:rsidRPr="00C902C8" w:rsidRDefault="005309CD" w:rsidP="005309CD">
      <w:pPr>
        <w:spacing w:after="0" w:line="240" w:lineRule="auto"/>
        <w:jc w:val="both"/>
        <w:rPr>
          <w:rFonts w:ascii="Times New Roman" w:hAnsi="Times New Roman" w:cs="Times New Roman"/>
          <w:sz w:val="24"/>
          <w:szCs w:val="24"/>
        </w:rPr>
      </w:pPr>
    </w:p>
    <w:p w14:paraId="0CE738A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(ii) Compounding Authority</w:t>
      </w:r>
      <w:r w:rsidRPr="00C902C8">
        <w:rPr>
          <w:rFonts w:ascii="Times New Roman" w:hAnsi="Times New Roman" w:cs="Times New Roman"/>
          <w:sz w:val="24"/>
          <w:szCs w:val="24"/>
        </w:rPr>
        <w:t xml:space="preserve"> – The CGM / Officer-in-charge, DPSS, Central Office will be the Compounding Authority for cases of compounding involving quantifiable contraventions, and ED-in-charge of DPSS will be the Compounding Authority for compounding cases involving non-quantifiable contraventions.</w:t>
      </w:r>
    </w:p>
    <w:p w14:paraId="1D73FB43" w14:textId="77777777" w:rsidR="005309CD" w:rsidRPr="00C902C8" w:rsidRDefault="005309CD" w:rsidP="005309CD">
      <w:pPr>
        <w:spacing w:after="0" w:line="240" w:lineRule="auto"/>
        <w:jc w:val="both"/>
        <w:rPr>
          <w:rFonts w:ascii="Times New Roman" w:hAnsi="Times New Roman" w:cs="Times New Roman"/>
          <w:sz w:val="24"/>
          <w:szCs w:val="24"/>
        </w:rPr>
      </w:pPr>
    </w:p>
    <w:p w14:paraId="057B0878"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Eligibility for compounding:</w:t>
      </w:r>
    </w:p>
    <w:p w14:paraId="5C008FE0" w14:textId="77777777" w:rsidR="005309CD" w:rsidRPr="00C902C8" w:rsidRDefault="005309CD" w:rsidP="005309CD">
      <w:pPr>
        <w:spacing w:after="0" w:line="240" w:lineRule="auto"/>
        <w:jc w:val="both"/>
        <w:rPr>
          <w:rFonts w:ascii="Times New Roman" w:hAnsi="Times New Roman" w:cs="Times New Roman"/>
          <w:sz w:val="24"/>
          <w:szCs w:val="24"/>
        </w:rPr>
      </w:pPr>
    </w:p>
    <w:p w14:paraId="1C9C6BA1" w14:textId="77777777" w:rsidR="005309CD" w:rsidRPr="00C902C8" w:rsidRDefault="005309CD" w:rsidP="005309CD">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contraventions (quantifiable or non-quantifiable) of the nature of offences mentioned in Section 26 (1), (3), (4), (5) and (6) of PSS Act, 2007, are liable to be compounded.</w:t>
      </w:r>
    </w:p>
    <w:p w14:paraId="37D9BE81" w14:textId="77777777" w:rsidR="005309CD" w:rsidRPr="00C902C8" w:rsidRDefault="005309CD" w:rsidP="005309CD">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cases which involve money laundering, terror financing or affect sovereignty and integrity of nation, shall not be compounded by RBI.</w:t>
      </w:r>
    </w:p>
    <w:p w14:paraId="376E2B7D" w14:textId="77777777" w:rsidR="005309CD" w:rsidRPr="00C902C8" w:rsidRDefault="005309CD" w:rsidP="005309CD">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applications submitted for compounding of eligible contraventions shall be accepted by RBI even if the same is pending before any court of law (on the basis of complaint filed by RBI).</w:t>
      </w:r>
    </w:p>
    <w:p w14:paraId="18871EF9" w14:textId="77777777" w:rsidR="005309CD" w:rsidRPr="00C902C8" w:rsidRDefault="005309CD" w:rsidP="005309CD">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Where a contravention has been compounded by RBI, no proceeding or further proceeding shall be initiated or continued, as the case may be, against the person committing such contravention, in respect of the contravention so compounded.</w:t>
      </w:r>
    </w:p>
    <w:p w14:paraId="12BBF1A7" w14:textId="77777777" w:rsidR="005309CD" w:rsidRPr="00C902C8" w:rsidRDefault="005309CD" w:rsidP="005309CD">
      <w:pPr>
        <w:spacing w:after="0" w:line="240" w:lineRule="auto"/>
        <w:jc w:val="both"/>
        <w:rPr>
          <w:rFonts w:ascii="Times New Roman" w:hAnsi="Times New Roman" w:cs="Times New Roman"/>
          <w:sz w:val="24"/>
          <w:szCs w:val="24"/>
        </w:rPr>
      </w:pPr>
    </w:p>
    <w:p w14:paraId="4F325A2D"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Procedure for compounding:</w:t>
      </w:r>
    </w:p>
    <w:p w14:paraId="59BA4743" w14:textId="77777777" w:rsidR="005309CD" w:rsidRPr="00C902C8" w:rsidRDefault="005309CD" w:rsidP="005309CD">
      <w:pPr>
        <w:spacing w:after="0" w:line="240" w:lineRule="auto"/>
        <w:jc w:val="both"/>
        <w:rPr>
          <w:rFonts w:ascii="Times New Roman" w:hAnsi="Times New Roman" w:cs="Times New Roman"/>
          <w:sz w:val="24"/>
          <w:szCs w:val="24"/>
        </w:rPr>
      </w:pPr>
    </w:p>
    <w:p w14:paraId="5A4CCA27" w14:textId="77777777" w:rsidR="005309CD" w:rsidRPr="00C902C8" w:rsidRDefault="005309CD" w:rsidP="005309CD">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compounding application: A contravener wishing to seek compounding of eligible contraventions, shall submit an application, along with information relating to facts and circumstances resulting in commission of contravention, a copy of Memorandum and Articles of Association and latest audited balance sheet, in the prescribed format (Appendix 2) to the Chief General Manager, Department of Payment and Settlement Systems, Reserve Bank of India, Central Office, Mumbai. He / she shall also give an undertaking that they are not under any enquiry / investigation / adjudication by any Law Enforcement Agency, such as Directorate of Enforcement, Directorate of Revenue Intelligence, Central Bureau of Investigation, etc.</w:t>
      </w:r>
    </w:p>
    <w:p w14:paraId="4EF41AD3" w14:textId="77777777" w:rsidR="005309CD" w:rsidRPr="00C902C8" w:rsidRDefault="005309CD" w:rsidP="005309CD">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Examination of Compounding Application: On receipt of the application for compounding, the same shall be examined by RBI and taken up for compounding process.</w:t>
      </w:r>
    </w:p>
    <w:p w14:paraId="05B5F6A2" w14:textId="77777777" w:rsidR="005309CD" w:rsidRPr="00C902C8" w:rsidRDefault="005309CD" w:rsidP="005309CD">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Call for information: The RBI may call for any information, record or any other documents relevant to the contravention.</w:t>
      </w:r>
    </w:p>
    <w:p w14:paraId="30C3607F" w14:textId="77777777" w:rsidR="005309CD" w:rsidRPr="00C902C8" w:rsidRDefault="005309CD" w:rsidP="005309CD">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Personal Hearing: The contravener shall be provided with a reasonable opportunity of being heard by the respective Compounding Authority irrespective of whether the contravener has opted for the same.</w:t>
      </w:r>
    </w:p>
    <w:p w14:paraId="5259B217" w14:textId="77777777" w:rsidR="005309CD" w:rsidRPr="00C902C8" w:rsidRDefault="005309CD" w:rsidP="005309CD">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 of Compounding Order: The Compounding Authority shall pass an order in the compounding application as expeditiously as possible, but not later than a period of 6 months from the date of receipt of the complete Compounding Application.</w:t>
      </w:r>
    </w:p>
    <w:p w14:paraId="561200E9" w14:textId="77777777" w:rsidR="005309CD" w:rsidRPr="00C902C8" w:rsidRDefault="005309CD" w:rsidP="005309CD">
      <w:pPr>
        <w:spacing w:after="0" w:line="240" w:lineRule="auto"/>
        <w:jc w:val="both"/>
        <w:rPr>
          <w:rFonts w:ascii="Times New Roman" w:hAnsi="Times New Roman" w:cs="Times New Roman"/>
          <w:sz w:val="24"/>
          <w:szCs w:val="24"/>
        </w:rPr>
      </w:pPr>
    </w:p>
    <w:p w14:paraId="0BB9BB59"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Compounding Amount:</w:t>
      </w:r>
    </w:p>
    <w:p w14:paraId="6F54EA7E" w14:textId="77777777" w:rsidR="005309CD" w:rsidRPr="00C902C8" w:rsidRDefault="005309CD" w:rsidP="005309CD">
      <w:pPr>
        <w:spacing w:after="0" w:line="240" w:lineRule="auto"/>
        <w:jc w:val="both"/>
        <w:rPr>
          <w:rFonts w:ascii="Times New Roman" w:hAnsi="Times New Roman" w:cs="Times New Roman"/>
          <w:sz w:val="24"/>
          <w:szCs w:val="24"/>
        </w:rPr>
      </w:pPr>
    </w:p>
    <w:p w14:paraId="27B4E793" w14:textId="77777777" w:rsidR="005309CD" w:rsidRPr="00C902C8" w:rsidRDefault="005309CD" w:rsidP="005309CD">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basis for calculation of compounding amount will be the same as for penalties (as prescribed in Appendix 1).</w:t>
      </w:r>
    </w:p>
    <w:p w14:paraId="6224B95C" w14:textId="77777777" w:rsidR="005309CD" w:rsidRPr="00C902C8" w:rsidRDefault="005309CD" w:rsidP="005309CD">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may be 25% less than the calculated amount (as per Appendix 1) that would have otherwise been imposed under Section 30 of the Act.</w:t>
      </w:r>
    </w:p>
    <w:p w14:paraId="35E7D8C9" w14:textId="77777777" w:rsidR="005309CD" w:rsidRPr="00C902C8" w:rsidRDefault="005309CD" w:rsidP="005309CD">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shall not exceed ₹ 5 lakh or double the amount of contravention, whichever is higher, in case of quantifiable contraventions, whereas in respect of non-quantifiable contraventions it shall not exceed ₹ 5 lakh.</w:t>
      </w:r>
    </w:p>
    <w:p w14:paraId="1A74731C" w14:textId="77777777" w:rsidR="005309CD" w:rsidRPr="00C902C8" w:rsidRDefault="005309CD" w:rsidP="005309CD">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repeated contraventions (within a period of 5 years) in respect of which compounding has been done on earlier occasion, the compounding amount may be increased by 50 per cent of the calculated amount (as per Appendix 1).</w:t>
      </w:r>
    </w:p>
    <w:p w14:paraId="0070B5B8" w14:textId="77777777" w:rsidR="005309CD" w:rsidRPr="00C902C8" w:rsidRDefault="005309CD" w:rsidP="005309CD">
      <w:pPr>
        <w:spacing w:after="0" w:line="240" w:lineRule="auto"/>
        <w:jc w:val="both"/>
        <w:rPr>
          <w:rFonts w:ascii="Times New Roman" w:hAnsi="Times New Roman" w:cs="Times New Roman"/>
          <w:sz w:val="24"/>
          <w:szCs w:val="24"/>
        </w:rPr>
      </w:pPr>
    </w:p>
    <w:p w14:paraId="7EF7FE53" w14:textId="77777777" w:rsidR="005309CD" w:rsidRPr="00C902C8" w:rsidRDefault="005309CD" w:rsidP="005309CD">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Payment of compounding amount:</w:t>
      </w:r>
    </w:p>
    <w:p w14:paraId="0AE4B5FC" w14:textId="77777777" w:rsidR="005309CD" w:rsidRPr="00C902C8" w:rsidRDefault="005309CD" w:rsidP="005309CD">
      <w:pPr>
        <w:spacing w:after="0" w:line="240" w:lineRule="auto"/>
        <w:jc w:val="both"/>
        <w:rPr>
          <w:rFonts w:ascii="Times New Roman" w:hAnsi="Times New Roman" w:cs="Times New Roman"/>
          <w:sz w:val="24"/>
          <w:szCs w:val="24"/>
        </w:rPr>
      </w:pPr>
    </w:p>
    <w:p w14:paraId="03263EEC" w14:textId="77777777" w:rsidR="005309CD" w:rsidRPr="00C902C8" w:rsidRDefault="005309CD" w:rsidP="005309CD">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specified in the Order of Compounding shall be paid within a period of 30 days from the date of the Order.</w:t>
      </w:r>
    </w:p>
    <w:p w14:paraId="6D4883F3" w14:textId="77777777" w:rsidR="005309CD" w:rsidRPr="00C902C8" w:rsidRDefault="005309CD" w:rsidP="005309CD">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to pay the compounding amount for which contravention was earlier compounded, it shall be deemed that the contravener did not make an application for compounding of contravention under the PSS Act, and the RBI shall be free to take appropriate action under the Act.</w:t>
      </w:r>
    </w:p>
    <w:p w14:paraId="11FB0588" w14:textId="77777777" w:rsidR="005309CD" w:rsidRPr="00C902C8" w:rsidRDefault="005309CD" w:rsidP="005309CD">
      <w:pPr>
        <w:spacing w:after="0" w:line="240" w:lineRule="auto"/>
        <w:jc w:val="both"/>
        <w:rPr>
          <w:rFonts w:ascii="Times New Roman" w:hAnsi="Times New Roman" w:cs="Times New Roman"/>
          <w:sz w:val="24"/>
          <w:szCs w:val="24"/>
        </w:rPr>
      </w:pPr>
    </w:p>
    <w:p w14:paraId="660FED5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(vii) Disclosure:</w:t>
      </w:r>
      <w:r w:rsidRPr="00C902C8">
        <w:rPr>
          <w:rFonts w:ascii="Times New Roman" w:hAnsi="Times New Roman" w:cs="Times New Roman"/>
          <w:sz w:val="24"/>
          <w:szCs w:val="24"/>
        </w:rPr>
        <w:t xml:space="preserve"> RBI shall make public the compounding amount levied on the entity for compounding of contraventions on its website.</w:t>
      </w:r>
    </w:p>
    <w:p w14:paraId="0C1253D8"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36274263" w14:textId="77777777" w:rsidR="005309CD" w:rsidRPr="00C902C8" w:rsidRDefault="005309CD" w:rsidP="005309CD">
      <w:pPr>
        <w:spacing w:after="0" w:line="240" w:lineRule="auto"/>
        <w:jc w:val="both"/>
        <w:rPr>
          <w:rFonts w:ascii="Times New Roman" w:hAnsi="Times New Roman" w:cs="Times New Roman"/>
          <w:sz w:val="24"/>
          <w:szCs w:val="24"/>
        </w:rPr>
      </w:pPr>
    </w:p>
    <w:p w14:paraId="28AD2AC3" w14:textId="77777777" w:rsidR="005309CD" w:rsidRDefault="005309CD" w:rsidP="005309CD">
      <w:pPr>
        <w:spacing w:after="0" w:line="240" w:lineRule="auto"/>
        <w:jc w:val="both"/>
        <w:rPr>
          <w:rFonts w:ascii="Times New Roman" w:hAnsi="Times New Roman" w:cs="Times New Roman"/>
          <w:b/>
          <w:bCs/>
          <w:sz w:val="24"/>
          <w:szCs w:val="24"/>
        </w:rPr>
      </w:pPr>
    </w:p>
    <w:p w14:paraId="164E5355"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Cash withdrawal using Point of Sale (PoS) terminals</w:t>
      </w:r>
    </w:p>
    <w:p w14:paraId="55DFAB36" w14:textId="77777777" w:rsidR="005309CD" w:rsidRPr="00C902C8" w:rsidRDefault="005309CD" w:rsidP="005309CD">
      <w:pPr>
        <w:spacing w:after="0" w:line="240" w:lineRule="auto"/>
        <w:jc w:val="both"/>
        <w:rPr>
          <w:rFonts w:ascii="Times New Roman" w:hAnsi="Times New Roman" w:cs="Times New Roman"/>
          <w:b/>
          <w:bCs/>
          <w:sz w:val="24"/>
          <w:szCs w:val="24"/>
        </w:rPr>
      </w:pPr>
    </w:p>
    <w:p w14:paraId="00B80D7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RBI/2019-20/154 DPSS.CO.PD No.1465/02.14.003/2019-20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31, 2020</w:t>
      </w:r>
    </w:p>
    <w:p w14:paraId="2FE92F5A" w14:textId="77777777" w:rsidR="005309CD" w:rsidRPr="00C902C8" w:rsidRDefault="005309CD" w:rsidP="005309CD">
      <w:pPr>
        <w:spacing w:after="0" w:line="240" w:lineRule="auto"/>
        <w:jc w:val="both"/>
        <w:rPr>
          <w:rFonts w:ascii="Times New Roman" w:hAnsi="Times New Roman" w:cs="Times New Roman"/>
          <w:sz w:val="24"/>
          <w:szCs w:val="24"/>
        </w:rPr>
      </w:pPr>
    </w:p>
    <w:p w14:paraId="1FCA4E1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2F23794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/Small Finance Banks (SFBs) / Authorised Card Payment Networks</w:t>
      </w:r>
    </w:p>
    <w:p w14:paraId="7EF0669A" w14:textId="77777777" w:rsidR="005309CD" w:rsidRPr="00C902C8" w:rsidRDefault="005309CD" w:rsidP="005309CD">
      <w:pPr>
        <w:spacing w:after="0" w:line="240" w:lineRule="auto"/>
        <w:jc w:val="both"/>
        <w:rPr>
          <w:rFonts w:ascii="Times New Roman" w:hAnsi="Times New Roman" w:cs="Times New Roman"/>
          <w:sz w:val="24"/>
          <w:szCs w:val="24"/>
        </w:rPr>
      </w:pPr>
    </w:p>
    <w:p w14:paraId="679D274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circulars DPSS.CO.PD.No.147/02.14.003/2009-10 dated July 22, 2009, DPSS.CO.PD.No.563/02.14.003/2013-14 dated September 5, 2013, DPSS.CO.PD.No.449/02.14.003/2015-16 dated August 27, 2015 and DPSS.CO.PD.No.501/02.14.003/2019-20 dated August 29, 2019, in terms of which banks are </w:t>
      </w:r>
      <w:r w:rsidRPr="00C902C8">
        <w:rPr>
          <w:rFonts w:ascii="Times New Roman" w:hAnsi="Times New Roman" w:cs="Times New Roman"/>
          <w:sz w:val="24"/>
          <w:szCs w:val="24"/>
        </w:rPr>
        <w:lastRenderedPageBreak/>
        <w:t>required to obtain one time permission from the Reserve Bank of India (RBI) for offering the facility of cash withdrawal at PoS terminals deployed by them.</w:t>
      </w:r>
    </w:p>
    <w:p w14:paraId="12F8C4A9" w14:textId="77777777" w:rsidR="005309CD" w:rsidRPr="00C902C8" w:rsidRDefault="005309CD" w:rsidP="005309CD">
      <w:pPr>
        <w:spacing w:after="0" w:line="240" w:lineRule="auto"/>
        <w:jc w:val="both"/>
        <w:rPr>
          <w:rFonts w:ascii="Times New Roman" w:hAnsi="Times New Roman" w:cs="Times New Roman"/>
          <w:sz w:val="24"/>
          <w:szCs w:val="24"/>
        </w:rPr>
      </w:pPr>
    </w:p>
    <w:p w14:paraId="6C9D302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that the requirement of obtaining permission from the RBI be dispensed with and that henceforth, banks may, based on the approval of their Board, provide cash withdrawal facility at PoS terminals. The designated merchant establishments may be advised to clearly indicate / display the availability of this facility along with the charges, if any, payable by the customer.</w:t>
      </w:r>
    </w:p>
    <w:p w14:paraId="654D412D" w14:textId="77777777" w:rsidR="005309CD" w:rsidRPr="00C902C8" w:rsidRDefault="005309CD" w:rsidP="005309CD">
      <w:pPr>
        <w:spacing w:after="0" w:line="240" w:lineRule="auto"/>
        <w:jc w:val="both"/>
        <w:rPr>
          <w:rFonts w:ascii="Times New Roman" w:hAnsi="Times New Roman" w:cs="Times New Roman"/>
          <w:sz w:val="24"/>
          <w:szCs w:val="24"/>
        </w:rPr>
      </w:pPr>
    </w:p>
    <w:p w14:paraId="5FCA42A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provisions, including those pertaining to the submission of data / reports to RBI, shall continue as hitherto.</w:t>
      </w:r>
    </w:p>
    <w:p w14:paraId="6D6CACD4" w14:textId="77777777" w:rsidR="005309CD" w:rsidRPr="00C902C8" w:rsidRDefault="005309CD" w:rsidP="005309CD">
      <w:pPr>
        <w:spacing w:after="0" w:line="240" w:lineRule="auto"/>
        <w:jc w:val="both"/>
        <w:rPr>
          <w:rFonts w:ascii="Times New Roman" w:hAnsi="Times New Roman" w:cs="Times New Roman"/>
          <w:sz w:val="24"/>
          <w:szCs w:val="24"/>
        </w:rPr>
      </w:pPr>
    </w:p>
    <w:p w14:paraId="7D2F33E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Payment and Settlement Systems Act, 2007 (Act 51 of 2007).</w:t>
      </w:r>
    </w:p>
    <w:p w14:paraId="16E62A1D"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16EA5941" w14:textId="77777777" w:rsidR="005309CD" w:rsidRPr="00C902C8" w:rsidRDefault="005309CD" w:rsidP="005309CD">
      <w:pPr>
        <w:spacing w:after="0" w:line="240" w:lineRule="auto"/>
        <w:jc w:val="both"/>
        <w:rPr>
          <w:rFonts w:ascii="Times New Roman" w:hAnsi="Times New Roman" w:cs="Times New Roman"/>
          <w:sz w:val="24"/>
          <w:szCs w:val="24"/>
        </w:rPr>
      </w:pPr>
    </w:p>
    <w:p w14:paraId="5A8595BF"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Date: Jun 05, 2020</w:t>
      </w:r>
    </w:p>
    <w:p w14:paraId="51CEADB5"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RBI announces creation of Payments Infrastructure Development Fund</w:t>
      </w:r>
    </w:p>
    <w:p w14:paraId="00EAD31F" w14:textId="77777777" w:rsidR="005309CD" w:rsidRPr="00C902C8" w:rsidRDefault="005309CD" w:rsidP="005309CD">
      <w:pPr>
        <w:spacing w:after="0" w:line="240" w:lineRule="auto"/>
        <w:jc w:val="both"/>
        <w:rPr>
          <w:rFonts w:ascii="Times New Roman" w:hAnsi="Times New Roman" w:cs="Times New Roman"/>
          <w:b/>
          <w:bCs/>
          <w:sz w:val="24"/>
          <w:szCs w:val="24"/>
        </w:rPr>
      </w:pPr>
    </w:p>
    <w:p w14:paraId="4BB201F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announces creation of a Payments Infrastructure Development Fund (PIDF) to encourage acquirers to deploy Points of Sale (PoS) infrastructure (both physical and digital modes) in tier-3 to tier-6 centres and north eastern states.</w:t>
      </w:r>
    </w:p>
    <w:p w14:paraId="07030375" w14:textId="77777777" w:rsidR="005309CD" w:rsidRPr="00C902C8" w:rsidRDefault="005309CD" w:rsidP="005309CD">
      <w:pPr>
        <w:spacing w:after="0" w:line="240" w:lineRule="auto"/>
        <w:jc w:val="both"/>
        <w:rPr>
          <w:rFonts w:ascii="Times New Roman" w:hAnsi="Times New Roman" w:cs="Times New Roman"/>
          <w:sz w:val="24"/>
          <w:szCs w:val="24"/>
        </w:rPr>
      </w:pPr>
    </w:p>
    <w:p w14:paraId="19A8557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payments ecosystem in the country has evolved with a wide range of options such as bank accounts, mobile phones, cards, etc. To provide further fillip to digitisation of payment systems, it is necessary to give impetus to acceptance infrastructure across the country, more so in underserved areas.</w:t>
      </w:r>
    </w:p>
    <w:p w14:paraId="69E31496" w14:textId="77777777" w:rsidR="005309CD" w:rsidRPr="00C902C8" w:rsidRDefault="005309CD" w:rsidP="005309CD">
      <w:pPr>
        <w:spacing w:after="0" w:line="240" w:lineRule="auto"/>
        <w:jc w:val="both"/>
        <w:rPr>
          <w:rFonts w:ascii="Times New Roman" w:hAnsi="Times New Roman" w:cs="Times New Roman"/>
          <w:sz w:val="24"/>
          <w:szCs w:val="24"/>
        </w:rPr>
      </w:pPr>
    </w:p>
    <w:p w14:paraId="4799A95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will make an initial contribution of ₹250 crores to the PIDF covering half the fund and remaining contribution will be from card issuing banks and card networks operating in the country. The PIDF will also receive recurring contributions to cover operational expenses from card issuing banks and card networks. The Reserve Bank will also contribute to yearly shortfalls, if necessary.</w:t>
      </w:r>
    </w:p>
    <w:p w14:paraId="6D024931" w14:textId="77777777" w:rsidR="005309CD" w:rsidRPr="00C902C8" w:rsidRDefault="005309CD" w:rsidP="005309CD">
      <w:pPr>
        <w:spacing w:after="0" w:line="240" w:lineRule="auto"/>
        <w:jc w:val="both"/>
        <w:rPr>
          <w:rFonts w:ascii="Times New Roman" w:hAnsi="Times New Roman" w:cs="Times New Roman"/>
          <w:sz w:val="24"/>
          <w:szCs w:val="24"/>
        </w:rPr>
      </w:pPr>
    </w:p>
    <w:p w14:paraId="0BBECDC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PIDF will be governed through an Advisory Council and managed and administered by Reserve Bank.</w:t>
      </w:r>
    </w:p>
    <w:p w14:paraId="31E9BB4A"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6EC2D7DA" w14:textId="77777777" w:rsidR="005309CD" w:rsidRPr="00C902C8" w:rsidRDefault="005309CD" w:rsidP="005309CD">
      <w:pPr>
        <w:spacing w:after="0" w:line="240" w:lineRule="auto"/>
        <w:jc w:val="both"/>
        <w:rPr>
          <w:rFonts w:ascii="Times New Roman" w:hAnsi="Times New Roman" w:cs="Times New Roman"/>
          <w:sz w:val="24"/>
          <w:szCs w:val="24"/>
        </w:rPr>
      </w:pPr>
    </w:p>
    <w:p w14:paraId="5E29CE60" w14:textId="77777777" w:rsidR="005309CD" w:rsidRDefault="005309CD" w:rsidP="005309CD">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Reserve Bank sensitises members of public on safe use of digital transactions</w:t>
      </w:r>
    </w:p>
    <w:p w14:paraId="04DF1856" w14:textId="77777777" w:rsidR="005309CD" w:rsidRDefault="005309CD" w:rsidP="005309CD">
      <w:pPr>
        <w:spacing w:after="0" w:line="240" w:lineRule="auto"/>
        <w:jc w:val="both"/>
        <w:rPr>
          <w:rFonts w:ascii="Times New Roman" w:hAnsi="Times New Roman" w:cs="Times New Roman"/>
          <w:b/>
          <w:bCs/>
          <w:sz w:val="24"/>
          <w:szCs w:val="24"/>
        </w:rPr>
      </w:pPr>
    </w:p>
    <w:p w14:paraId="7DB55E73" w14:textId="77777777" w:rsidR="005309CD" w:rsidRDefault="005309CD" w:rsidP="005309CD">
      <w:pPr>
        <w:spacing w:after="0" w:line="240" w:lineRule="auto"/>
        <w:jc w:val="both"/>
        <w:rPr>
          <w:rFonts w:ascii="Arial" w:hAnsi="Arial" w:cs="Arial"/>
          <w:b/>
          <w:bCs/>
          <w:color w:val="000000"/>
          <w:sz w:val="20"/>
          <w:szCs w:val="20"/>
          <w:shd w:val="clear" w:color="auto" w:fill="F7E8D5"/>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Arial" w:hAnsi="Arial" w:cs="Arial"/>
          <w:b/>
          <w:bCs/>
          <w:color w:val="000000"/>
          <w:sz w:val="20"/>
          <w:szCs w:val="20"/>
        </w:rPr>
        <w:t>Date: </w:t>
      </w:r>
      <w:r>
        <w:rPr>
          <w:rFonts w:ascii="Arial" w:hAnsi="Arial" w:cs="Arial"/>
          <w:b/>
          <w:bCs/>
          <w:color w:val="000000"/>
          <w:sz w:val="20"/>
          <w:szCs w:val="20"/>
          <w:shd w:val="clear" w:color="auto" w:fill="F7E8D5"/>
        </w:rPr>
        <w:t>Jun 22, 2020</w:t>
      </w:r>
    </w:p>
    <w:p w14:paraId="31F55F5C" w14:textId="77777777" w:rsidR="005309CD" w:rsidRPr="001128C2" w:rsidRDefault="005309CD" w:rsidP="005309CD">
      <w:pPr>
        <w:spacing w:after="0" w:line="240" w:lineRule="auto"/>
        <w:jc w:val="both"/>
        <w:rPr>
          <w:rFonts w:ascii="Times New Roman" w:hAnsi="Times New Roman" w:cs="Times New Roman"/>
          <w:b/>
          <w:bCs/>
          <w:sz w:val="24"/>
          <w:szCs w:val="24"/>
        </w:rPr>
      </w:pPr>
    </w:p>
    <w:p w14:paraId="2D581062"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Safety and security of digital transactions are of paramount importance to their users. The Reserve Bank has put in place many mechanisms to ensure the same by continuously and actively undertaking digital awareness campaigns in the print and Audio-Visual media, including through the Bank’s flagship programme </w:t>
      </w:r>
      <w:r w:rsidRPr="001128C2">
        <w:rPr>
          <w:rFonts w:ascii="Times New Roman" w:hAnsi="Times New Roman" w:cs="Times New Roman"/>
          <w:b/>
          <w:bCs/>
          <w:sz w:val="24"/>
          <w:szCs w:val="24"/>
        </w:rPr>
        <w:t>“RBI Kehta Hai”.</w:t>
      </w:r>
    </w:p>
    <w:p w14:paraId="26794FC7" w14:textId="77777777" w:rsidR="005309CD" w:rsidRPr="001128C2" w:rsidRDefault="005309CD" w:rsidP="005309CD">
      <w:pPr>
        <w:spacing w:after="0" w:line="240" w:lineRule="auto"/>
        <w:jc w:val="both"/>
        <w:rPr>
          <w:rFonts w:ascii="Times New Roman" w:hAnsi="Times New Roman" w:cs="Times New Roman"/>
          <w:sz w:val="24"/>
          <w:szCs w:val="24"/>
        </w:rPr>
      </w:pPr>
    </w:p>
    <w:p w14:paraId="16F64669"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In recent days there are reports of users falling prey to fraudsters who are luring them on fictitious pretexts, such as alleged completion of KYC requirements, impersonating identities and websites of banks and payment system operators, etc.</w:t>
      </w:r>
    </w:p>
    <w:p w14:paraId="00F7D7B5" w14:textId="77777777" w:rsidR="005309CD" w:rsidRPr="001128C2" w:rsidRDefault="005309CD" w:rsidP="005309CD">
      <w:pPr>
        <w:spacing w:after="0" w:line="240" w:lineRule="auto"/>
        <w:jc w:val="both"/>
        <w:rPr>
          <w:rFonts w:ascii="Times New Roman" w:hAnsi="Times New Roman" w:cs="Times New Roman"/>
          <w:sz w:val="24"/>
          <w:szCs w:val="24"/>
        </w:rPr>
      </w:pPr>
    </w:p>
    <w:p w14:paraId="3F1AD8A7" w14:textId="77777777" w:rsidR="005309CD"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To promote safe digital transactions among the general public it is reiterated that users should take care by (i) not sharing with anyone their ATM / Card (Debit / Credit / Prepaid) details; (ii) not sharing their Password, PIN, OTP, CVV, UPI-PIN, etc.; (iii) avoid undertaking banking or other financial transactions through public, open or free wifi-networks; and (iv) not storing important banking data on the mobile, e-mail, electronic wallet or purse. Consumers may remember that banks and other payment systems operators never ask for details such as password, PIN, OTP, CVV number.</w:t>
      </w:r>
    </w:p>
    <w:p w14:paraId="03F6445B" w14:textId="77777777" w:rsidR="005309CD" w:rsidRDefault="005309CD" w:rsidP="005309CD">
      <w:pPr>
        <w:pBdr>
          <w:bottom w:val="single" w:sz="12" w:space="1" w:color="auto"/>
        </w:pBdr>
        <w:spacing w:after="0" w:line="240" w:lineRule="auto"/>
        <w:jc w:val="both"/>
        <w:rPr>
          <w:rFonts w:ascii="Times New Roman" w:hAnsi="Times New Roman" w:cs="Times New Roman"/>
          <w:sz w:val="24"/>
          <w:szCs w:val="24"/>
        </w:rPr>
      </w:pPr>
    </w:p>
    <w:p w14:paraId="19A91327" w14:textId="77777777" w:rsidR="005309CD" w:rsidRDefault="005309CD" w:rsidP="005309CD">
      <w:pPr>
        <w:spacing w:after="0" w:line="240" w:lineRule="auto"/>
        <w:jc w:val="both"/>
        <w:rPr>
          <w:rFonts w:ascii="Times New Roman" w:hAnsi="Times New Roman" w:cs="Times New Roman"/>
          <w:b/>
          <w:bCs/>
          <w:sz w:val="24"/>
          <w:szCs w:val="24"/>
        </w:rPr>
      </w:pPr>
    </w:p>
    <w:p w14:paraId="7E73C6FA" w14:textId="77777777" w:rsidR="005309CD" w:rsidRDefault="005309CD" w:rsidP="005309CD">
      <w:pPr>
        <w:spacing w:after="0" w:line="240" w:lineRule="auto"/>
        <w:jc w:val="both"/>
        <w:rPr>
          <w:rFonts w:ascii="Times New Roman" w:hAnsi="Times New Roman" w:cs="Times New Roman"/>
          <w:b/>
          <w:bCs/>
          <w:sz w:val="24"/>
          <w:szCs w:val="24"/>
        </w:rPr>
      </w:pPr>
    </w:p>
    <w:p w14:paraId="3AA5603A" w14:textId="77777777" w:rsidR="005309CD" w:rsidRDefault="005309CD" w:rsidP="005309CD">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Instances of Payment Frauds – Enhancing Public Awareness Campaigns Through Multiple Channels</w:t>
      </w:r>
    </w:p>
    <w:p w14:paraId="75697133" w14:textId="77777777" w:rsidR="005309CD" w:rsidRPr="001128C2" w:rsidRDefault="005309CD" w:rsidP="005309CD">
      <w:pPr>
        <w:spacing w:after="0" w:line="240" w:lineRule="auto"/>
        <w:jc w:val="both"/>
        <w:rPr>
          <w:rFonts w:ascii="Times New Roman" w:hAnsi="Times New Roman" w:cs="Times New Roman"/>
          <w:b/>
          <w:bCs/>
          <w:sz w:val="24"/>
          <w:szCs w:val="24"/>
        </w:rPr>
      </w:pPr>
    </w:p>
    <w:p w14:paraId="6928B373"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RBI/2019-20/256</w:t>
      </w:r>
      <w:r>
        <w:rPr>
          <w:rFonts w:ascii="Times New Roman" w:hAnsi="Times New Roman" w:cs="Times New Roman"/>
          <w:sz w:val="24"/>
          <w:szCs w:val="24"/>
        </w:rPr>
        <w:t xml:space="preserve"> </w:t>
      </w:r>
      <w:r w:rsidRPr="001128C2">
        <w:rPr>
          <w:rFonts w:ascii="Times New Roman" w:hAnsi="Times New Roman" w:cs="Times New Roman"/>
          <w:sz w:val="24"/>
          <w:szCs w:val="24"/>
        </w:rPr>
        <w:t>DPSS.CO.OD.No.1934/06.08.005/2019-20</w:t>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22, 2020</w:t>
      </w:r>
    </w:p>
    <w:p w14:paraId="597941C8" w14:textId="77777777" w:rsidR="005309CD" w:rsidRPr="001128C2" w:rsidRDefault="005309CD" w:rsidP="005309CD">
      <w:pPr>
        <w:spacing w:after="0" w:line="240" w:lineRule="auto"/>
        <w:jc w:val="both"/>
        <w:rPr>
          <w:rFonts w:ascii="Times New Roman" w:hAnsi="Times New Roman" w:cs="Times New Roman"/>
          <w:sz w:val="24"/>
          <w:szCs w:val="24"/>
        </w:rPr>
      </w:pPr>
    </w:p>
    <w:p w14:paraId="1BDD6AED"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The Chairman / Managing Director / Chief Executive Officer</w:t>
      </w:r>
    </w:p>
    <w:p w14:paraId="185BD4B3"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Authorised Payment System Operators (banks and non-banks) /</w:t>
      </w:r>
      <w:r>
        <w:rPr>
          <w:rFonts w:ascii="Times New Roman" w:hAnsi="Times New Roman" w:cs="Times New Roman"/>
          <w:sz w:val="24"/>
          <w:szCs w:val="24"/>
        </w:rPr>
        <w:t xml:space="preserve"> </w:t>
      </w:r>
      <w:r w:rsidRPr="001128C2">
        <w:rPr>
          <w:rFonts w:ascii="Times New Roman" w:hAnsi="Times New Roman" w:cs="Times New Roman"/>
          <w:sz w:val="24"/>
          <w:szCs w:val="24"/>
        </w:rPr>
        <w:t>Participants of Payment Systems (banks and non-banks)</w:t>
      </w:r>
    </w:p>
    <w:p w14:paraId="15FB9F43" w14:textId="77777777" w:rsidR="005309CD" w:rsidRPr="001128C2" w:rsidRDefault="005309CD" w:rsidP="005309CD">
      <w:pPr>
        <w:spacing w:after="0" w:line="240" w:lineRule="auto"/>
        <w:jc w:val="both"/>
        <w:rPr>
          <w:rFonts w:ascii="Times New Roman" w:hAnsi="Times New Roman" w:cs="Times New Roman"/>
          <w:sz w:val="24"/>
          <w:szCs w:val="24"/>
        </w:rPr>
      </w:pPr>
    </w:p>
    <w:p w14:paraId="711984B6" w14:textId="77777777" w:rsidR="005309CD" w:rsidRPr="001128C2" w:rsidRDefault="005309CD" w:rsidP="005309CD">
      <w:pPr>
        <w:spacing w:after="0" w:line="240" w:lineRule="auto"/>
        <w:jc w:val="both"/>
        <w:rPr>
          <w:rFonts w:ascii="Times New Roman" w:hAnsi="Times New Roman" w:cs="Times New Roman"/>
          <w:sz w:val="24"/>
          <w:szCs w:val="24"/>
        </w:rPr>
      </w:pPr>
    </w:p>
    <w:p w14:paraId="7B051CDF"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As you are aware, safety and security of digital transactions are of paramount importance. Reserve Bank has been taking measures to improve awareness through its e-BAAT programmes and organising campaigns on safe use of digital payment modes, to avoid sharing critical personal information like PIN, OTP, passwords, etc.</w:t>
      </w:r>
    </w:p>
    <w:p w14:paraId="0E318070" w14:textId="77777777" w:rsidR="005309CD" w:rsidRPr="001128C2" w:rsidRDefault="005309CD" w:rsidP="005309CD">
      <w:pPr>
        <w:spacing w:after="0" w:line="240" w:lineRule="auto"/>
        <w:jc w:val="both"/>
        <w:rPr>
          <w:rFonts w:ascii="Times New Roman" w:hAnsi="Times New Roman" w:cs="Times New Roman"/>
          <w:sz w:val="24"/>
          <w:szCs w:val="24"/>
        </w:rPr>
      </w:pPr>
    </w:p>
    <w:p w14:paraId="1C19120B" w14:textId="77777777" w:rsidR="005309CD" w:rsidRPr="001128C2"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2. Inspite of these initiatives, incidence of frauds continue to bedevil digital users, often using the same modus operandi users were cautioned about, such as luring them to disclose vital payment information, swapping sim cards, opening links received in messages and mails, etc. There are also cases of users being tricked into downloading spurious apps that access critical information stored on devices. It is, therefore, essential that all payment systems operators and participants – banks and non-banks – continue and reinforce efforts to spread awareness about digital safety.</w:t>
      </w:r>
    </w:p>
    <w:p w14:paraId="08D6032C" w14:textId="77777777" w:rsidR="005309CD" w:rsidRPr="001128C2" w:rsidRDefault="005309CD" w:rsidP="005309CD">
      <w:pPr>
        <w:spacing w:after="0" w:line="240" w:lineRule="auto"/>
        <w:jc w:val="both"/>
        <w:rPr>
          <w:rFonts w:ascii="Times New Roman" w:hAnsi="Times New Roman" w:cs="Times New Roman"/>
          <w:sz w:val="24"/>
          <w:szCs w:val="24"/>
        </w:rPr>
      </w:pPr>
    </w:p>
    <w:p w14:paraId="154453ED" w14:textId="77777777" w:rsidR="005309CD" w:rsidRDefault="005309CD" w:rsidP="005309CD">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3. All authorised payment systems operators and participants are hereby advised to undertake targeted multi-lingual campaigns by way of SMSs, advertisements in print and visual media, etc., to educate their users on safe and secure use of digital payments.</w:t>
      </w:r>
    </w:p>
    <w:p w14:paraId="795473A0" w14:textId="77777777" w:rsidR="005309CD" w:rsidRDefault="005309CD" w:rsidP="005309CD">
      <w:pPr>
        <w:pBdr>
          <w:bottom w:val="single" w:sz="12" w:space="1" w:color="auto"/>
        </w:pBdr>
        <w:spacing w:after="0" w:line="240" w:lineRule="auto"/>
        <w:jc w:val="both"/>
        <w:rPr>
          <w:rFonts w:ascii="Times New Roman" w:hAnsi="Times New Roman" w:cs="Times New Roman"/>
          <w:sz w:val="24"/>
          <w:szCs w:val="24"/>
        </w:rPr>
      </w:pPr>
    </w:p>
    <w:p w14:paraId="37E4BABC" w14:textId="77777777" w:rsidR="005309CD" w:rsidRPr="001128C2" w:rsidRDefault="005309CD" w:rsidP="005309CD">
      <w:pPr>
        <w:spacing w:after="0" w:line="240" w:lineRule="auto"/>
        <w:jc w:val="both"/>
        <w:rPr>
          <w:rFonts w:ascii="Times New Roman" w:hAnsi="Times New Roman" w:cs="Times New Roman"/>
          <w:sz w:val="24"/>
          <w:szCs w:val="24"/>
        </w:rPr>
      </w:pPr>
    </w:p>
    <w:p w14:paraId="58265EC3"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Enhancing Security of Card Transactions</w:t>
      </w:r>
    </w:p>
    <w:p w14:paraId="530E445E" w14:textId="77777777" w:rsidR="005309CD" w:rsidRPr="00C902C8" w:rsidRDefault="005309CD" w:rsidP="005309CD">
      <w:pPr>
        <w:spacing w:after="0" w:line="240" w:lineRule="auto"/>
        <w:jc w:val="both"/>
        <w:rPr>
          <w:rFonts w:ascii="Times New Roman" w:hAnsi="Times New Roman" w:cs="Times New Roman"/>
          <w:b/>
          <w:bCs/>
          <w:sz w:val="24"/>
          <w:szCs w:val="24"/>
        </w:rPr>
      </w:pPr>
    </w:p>
    <w:p w14:paraId="6561A8B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RBI/2019-20/142 DPSS.CO.PD No.1343/02.14.003/2019-20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15, 2020</w:t>
      </w:r>
    </w:p>
    <w:p w14:paraId="6E920A6F" w14:textId="77777777" w:rsidR="005309CD" w:rsidRPr="00C902C8" w:rsidRDefault="005309CD" w:rsidP="005309CD">
      <w:pPr>
        <w:spacing w:after="0" w:line="240" w:lineRule="auto"/>
        <w:jc w:val="both"/>
        <w:rPr>
          <w:rFonts w:ascii="Times New Roman" w:hAnsi="Times New Roman" w:cs="Times New Roman"/>
          <w:sz w:val="24"/>
          <w:szCs w:val="24"/>
        </w:rPr>
      </w:pPr>
    </w:p>
    <w:p w14:paraId="73A726A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6E81D45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 Small Finance Banks (SFBs) / Local Area Banks (LABs) / Authorised Card Payment Networks / Non-Bank PPI issuers</w:t>
      </w:r>
    </w:p>
    <w:p w14:paraId="05BAFB93" w14:textId="77777777" w:rsidR="005309CD" w:rsidRPr="00C902C8" w:rsidRDefault="005309CD" w:rsidP="005309CD">
      <w:pPr>
        <w:spacing w:after="0" w:line="240" w:lineRule="auto"/>
        <w:jc w:val="both"/>
        <w:rPr>
          <w:rFonts w:ascii="Times New Roman" w:hAnsi="Times New Roman" w:cs="Times New Roman"/>
          <w:sz w:val="24"/>
          <w:szCs w:val="24"/>
        </w:rPr>
      </w:pPr>
    </w:p>
    <w:p w14:paraId="7151E94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Over the years, the volume and value of transactions made through cards have increased manifold. To improve user convenience and increase the security of card transactions, it has been decided as under:</w:t>
      </w:r>
    </w:p>
    <w:p w14:paraId="6E6F2F71" w14:textId="77777777" w:rsidR="005309CD" w:rsidRPr="00C902C8" w:rsidRDefault="005309CD" w:rsidP="005309CD">
      <w:pPr>
        <w:spacing w:after="0" w:line="240" w:lineRule="auto"/>
        <w:jc w:val="both"/>
        <w:rPr>
          <w:rFonts w:ascii="Times New Roman" w:hAnsi="Times New Roman" w:cs="Times New Roman"/>
          <w:sz w:val="24"/>
          <w:szCs w:val="24"/>
        </w:rPr>
      </w:pPr>
    </w:p>
    <w:p w14:paraId="3A7BFC8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At the time of issue / re-issue, all cards (physical and virtual) shall be enabled for use only at contact-based points of usage [viz. ATMs and Point of Sale (PoS) devices] within India. Issuers shall provide cardholders a facility for enabling card not present (domestic and international) transactions, card present (international) transactions and contactless transactions, as per the process outlined in para 1 (c).</w:t>
      </w:r>
    </w:p>
    <w:p w14:paraId="4194D330" w14:textId="77777777" w:rsidR="005309CD" w:rsidRPr="00C902C8" w:rsidRDefault="005309CD" w:rsidP="005309CD">
      <w:pPr>
        <w:spacing w:after="0" w:line="240" w:lineRule="auto"/>
        <w:jc w:val="both"/>
        <w:rPr>
          <w:rFonts w:ascii="Times New Roman" w:hAnsi="Times New Roman" w:cs="Times New Roman"/>
          <w:sz w:val="24"/>
          <w:szCs w:val="24"/>
        </w:rPr>
      </w:pPr>
    </w:p>
    <w:p w14:paraId="0576BF1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For existing cards, issuers may take a decision, based on their risk perception, whether to disable the card not present (domestic and international) transactions, card present (international) transactions and contactless transaction rights. Existing cards which have never been used for online (card not present) / international / contactless transactions shall be mandatorily disabled for this purpose.</w:t>
      </w:r>
    </w:p>
    <w:p w14:paraId="378DA95A" w14:textId="77777777" w:rsidR="005309CD" w:rsidRPr="00C902C8" w:rsidRDefault="005309CD" w:rsidP="005309CD">
      <w:pPr>
        <w:spacing w:after="0" w:line="240" w:lineRule="auto"/>
        <w:jc w:val="both"/>
        <w:rPr>
          <w:rFonts w:ascii="Times New Roman" w:hAnsi="Times New Roman" w:cs="Times New Roman"/>
          <w:sz w:val="24"/>
          <w:szCs w:val="24"/>
        </w:rPr>
      </w:pPr>
    </w:p>
    <w:p w14:paraId="50A6ACE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Additionally, the issuers shall provide to all cardholders:</w:t>
      </w:r>
    </w:p>
    <w:p w14:paraId="2544C1A9" w14:textId="77777777" w:rsidR="005309CD" w:rsidRPr="00C902C8" w:rsidRDefault="005309CD" w:rsidP="005309CD">
      <w:pPr>
        <w:spacing w:after="0" w:line="240" w:lineRule="auto"/>
        <w:jc w:val="both"/>
        <w:rPr>
          <w:rFonts w:ascii="Times New Roman" w:hAnsi="Times New Roman" w:cs="Times New Roman"/>
          <w:sz w:val="24"/>
          <w:szCs w:val="24"/>
        </w:rPr>
      </w:pPr>
    </w:p>
    <w:p w14:paraId="59C647C2" w14:textId="77777777" w:rsidR="005309CD" w:rsidRPr="00C902C8" w:rsidRDefault="005309CD" w:rsidP="005309CD">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facility to switch on / off and set / modify transaction limits (within the overall card limit, if any, set by the issuer) for all types of transactions – domestic and international, at PoS / ATMs / online transactions / contactless transactions, etc.;</w:t>
      </w:r>
    </w:p>
    <w:p w14:paraId="26BBD5BD" w14:textId="77777777" w:rsidR="005309CD" w:rsidRPr="00C902C8" w:rsidRDefault="005309CD" w:rsidP="005309CD">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above facility on a 24x7 basis through multiple channels - mobile application / internet banking / ATMs / Interactive Voice Response (IVR); this may also be offered at branches / offices;</w:t>
      </w:r>
    </w:p>
    <w:p w14:paraId="0F037B98" w14:textId="77777777" w:rsidR="005309CD" w:rsidRPr="00C902C8" w:rsidRDefault="005309CD" w:rsidP="005309CD">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alerts / information / status, etc., through SMS / e-mail, as and when there is any change in status of the card.</w:t>
      </w:r>
    </w:p>
    <w:p w14:paraId="13A93815" w14:textId="77777777" w:rsidR="005309CD" w:rsidRPr="00C902C8" w:rsidRDefault="005309CD" w:rsidP="005309CD">
      <w:pPr>
        <w:spacing w:after="0" w:line="240" w:lineRule="auto"/>
        <w:jc w:val="both"/>
        <w:rPr>
          <w:rFonts w:ascii="Times New Roman" w:hAnsi="Times New Roman" w:cs="Times New Roman"/>
          <w:sz w:val="24"/>
          <w:szCs w:val="24"/>
        </w:rPr>
      </w:pPr>
    </w:p>
    <w:p w14:paraId="5DD94A8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of this circular are not mandatory for prepaid gift cards and those used at mass transit systems.</w:t>
      </w:r>
    </w:p>
    <w:p w14:paraId="740C1EA3" w14:textId="77777777" w:rsidR="005309CD" w:rsidRPr="00C902C8" w:rsidRDefault="005309CD" w:rsidP="005309CD">
      <w:pPr>
        <w:spacing w:after="0" w:line="240" w:lineRule="auto"/>
        <w:jc w:val="both"/>
        <w:rPr>
          <w:rFonts w:ascii="Times New Roman" w:hAnsi="Times New Roman" w:cs="Times New Roman"/>
          <w:sz w:val="24"/>
          <w:szCs w:val="24"/>
        </w:rPr>
      </w:pPr>
    </w:p>
    <w:p w14:paraId="10004303"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Issuers and card networks may give wide publicity to the provisions of this circular.</w:t>
      </w:r>
    </w:p>
    <w:p w14:paraId="75177DDD" w14:textId="77777777" w:rsidR="005309CD" w:rsidRPr="00C902C8" w:rsidRDefault="005309CD" w:rsidP="005309CD">
      <w:pPr>
        <w:spacing w:after="0" w:line="240" w:lineRule="auto"/>
        <w:jc w:val="both"/>
        <w:rPr>
          <w:rFonts w:ascii="Times New Roman" w:hAnsi="Times New Roman" w:cs="Times New Roman"/>
          <w:sz w:val="24"/>
          <w:szCs w:val="24"/>
        </w:rPr>
      </w:pPr>
    </w:p>
    <w:p w14:paraId="214474D5"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the Payment and Settlement Systems Act, 2007 (Act 51 of 2007) and shall come into effect from March 16, 2020.</w:t>
      </w:r>
    </w:p>
    <w:p w14:paraId="5A42D86F"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5175F7FC" w14:textId="77777777" w:rsidR="005309CD" w:rsidRPr="00C902C8" w:rsidRDefault="005309CD" w:rsidP="005309CD">
      <w:pPr>
        <w:spacing w:after="0" w:line="240" w:lineRule="auto"/>
        <w:jc w:val="both"/>
        <w:rPr>
          <w:rFonts w:ascii="Times New Roman" w:hAnsi="Times New Roman" w:cs="Times New Roman"/>
          <w:sz w:val="24"/>
          <w:szCs w:val="24"/>
        </w:rPr>
      </w:pPr>
    </w:p>
    <w:p w14:paraId="1A4BD087" w14:textId="77A02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2" w:name="_Hlk43631866"/>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698B9C43"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DOR.No.BP.BC.47/21.04.048/2019-20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2BF6B2A6"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2304AE5"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01B5FCB3"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DAC19C6"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0E6583FF"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785878E"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 Rescheduling of Payments – Term Loans and Working Capital Facilities</w:t>
      </w:r>
    </w:p>
    <w:p w14:paraId="08AE3C17"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F43E83E"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0B315A9C"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F6DBC1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2FD642CF"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9CDC15C"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757FCF2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33BA247"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61CD48C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B6E8D22"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(SMA) and Non-Performing Asset (NPA)</w:t>
      </w:r>
    </w:p>
    <w:p w14:paraId="7B290EB7"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7126799D"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6C14750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7DB0E52"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59C14C36"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7958716"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6E6C3E2A"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999D608"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2DB4C5A7"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B0F5BD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67439F46"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8421B8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0B27788B"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4482632"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5EEDFA65" w14:textId="77777777" w:rsidR="005309CD" w:rsidRPr="00C902C8" w:rsidRDefault="005309CD" w:rsidP="005309CD">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2"/>
    <w:p w14:paraId="6AABD14D" w14:textId="77777777" w:rsidR="005309CD" w:rsidRPr="00C902C8" w:rsidRDefault="005309CD" w:rsidP="005309C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00A45B8" w14:textId="77777777" w:rsidR="005309CD" w:rsidRDefault="005309CD" w:rsidP="005309CD">
      <w:pPr>
        <w:spacing w:after="0" w:line="240" w:lineRule="auto"/>
        <w:jc w:val="both"/>
        <w:rPr>
          <w:rFonts w:ascii="Times New Roman" w:hAnsi="Times New Roman" w:cs="Times New Roman"/>
          <w:b/>
          <w:bCs/>
          <w:sz w:val="24"/>
          <w:szCs w:val="24"/>
        </w:rPr>
      </w:pPr>
      <w:bookmarkStart w:id="3" w:name="_Hlk43631894"/>
    </w:p>
    <w:p w14:paraId="65218087" w14:textId="77777777" w:rsidR="005309CD"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514CAF55" w14:textId="77777777" w:rsidR="005309CD" w:rsidRPr="00C902C8" w:rsidRDefault="005309CD" w:rsidP="005309CD">
      <w:pPr>
        <w:spacing w:after="0" w:line="240" w:lineRule="auto"/>
        <w:jc w:val="both"/>
        <w:rPr>
          <w:rFonts w:ascii="Times New Roman" w:hAnsi="Times New Roman" w:cs="Times New Roman"/>
          <w:b/>
          <w:bCs/>
          <w:sz w:val="24"/>
          <w:szCs w:val="24"/>
        </w:rPr>
      </w:pPr>
    </w:p>
    <w:p w14:paraId="05EF262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DOR.No.BP.BC.63/21.04.048/2019-20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42964FB9" w14:textId="77777777" w:rsidR="005309CD" w:rsidRPr="00C902C8" w:rsidRDefault="005309CD" w:rsidP="005309CD">
      <w:pPr>
        <w:spacing w:after="0" w:line="240" w:lineRule="auto"/>
        <w:jc w:val="both"/>
        <w:rPr>
          <w:rFonts w:ascii="Times New Roman" w:hAnsi="Times New Roman" w:cs="Times New Roman"/>
          <w:sz w:val="24"/>
          <w:szCs w:val="24"/>
        </w:rPr>
      </w:pPr>
    </w:p>
    <w:p w14:paraId="1B7D4B9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30C9C276" w14:textId="77777777" w:rsidR="005309CD" w:rsidRPr="00C902C8" w:rsidRDefault="005309CD" w:rsidP="005309CD">
      <w:pPr>
        <w:spacing w:after="0" w:line="240" w:lineRule="auto"/>
        <w:jc w:val="both"/>
        <w:rPr>
          <w:rFonts w:ascii="Times New Roman" w:hAnsi="Times New Roman" w:cs="Times New Roman"/>
          <w:sz w:val="24"/>
          <w:szCs w:val="24"/>
        </w:rPr>
      </w:pPr>
    </w:p>
    <w:p w14:paraId="4736043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7E4C28D6" w14:textId="77777777" w:rsidR="005309CD" w:rsidRPr="00C902C8" w:rsidRDefault="005309CD" w:rsidP="005309CD">
      <w:pPr>
        <w:spacing w:after="0" w:line="240" w:lineRule="auto"/>
        <w:jc w:val="both"/>
        <w:rPr>
          <w:rFonts w:ascii="Times New Roman" w:hAnsi="Times New Roman" w:cs="Times New Roman"/>
          <w:sz w:val="24"/>
          <w:szCs w:val="24"/>
        </w:rPr>
      </w:pPr>
    </w:p>
    <w:p w14:paraId="4AC793CD"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Asset Classification under the Prudential norms on Income Recognition, Asset Classification (IRAC)</w:t>
      </w:r>
    </w:p>
    <w:p w14:paraId="657DF543" w14:textId="77777777" w:rsidR="005309CD" w:rsidRPr="00C902C8" w:rsidRDefault="005309CD" w:rsidP="005309CD">
      <w:pPr>
        <w:spacing w:after="0" w:line="240" w:lineRule="auto"/>
        <w:jc w:val="both"/>
        <w:rPr>
          <w:rFonts w:ascii="Times New Roman" w:hAnsi="Times New Roman" w:cs="Times New Roman"/>
          <w:sz w:val="24"/>
          <w:szCs w:val="24"/>
        </w:rPr>
      </w:pPr>
    </w:p>
    <w:p w14:paraId="2C370AB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56A30697" w14:textId="77777777" w:rsidR="005309CD" w:rsidRPr="00C902C8" w:rsidRDefault="005309CD" w:rsidP="005309CD">
      <w:pPr>
        <w:spacing w:after="0" w:line="240" w:lineRule="auto"/>
        <w:jc w:val="both"/>
        <w:rPr>
          <w:rFonts w:ascii="Times New Roman" w:hAnsi="Times New Roman" w:cs="Times New Roman"/>
          <w:sz w:val="24"/>
          <w:szCs w:val="24"/>
        </w:rPr>
      </w:pPr>
    </w:p>
    <w:p w14:paraId="4740AF3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178E9B16" w14:textId="77777777" w:rsidR="005309CD" w:rsidRPr="00C902C8" w:rsidRDefault="005309CD" w:rsidP="005309CD">
      <w:pPr>
        <w:spacing w:after="0" w:line="240" w:lineRule="auto"/>
        <w:jc w:val="both"/>
        <w:rPr>
          <w:rFonts w:ascii="Times New Roman" w:hAnsi="Times New Roman" w:cs="Times New Roman"/>
          <w:sz w:val="24"/>
          <w:szCs w:val="24"/>
        </w:rPr>
      </w:pPr>
    </w:p>
    <w:p w14:paraId="54E0671E"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3FE0D8B8" w14:textId="77777777" w:rsidR="005309CD" w:rsidRPr="00C902C8" w:rsidRDefault="005309CD" w:rsidP="005309CD">
      <w:pPr>
        <w:spacing w:after="0" w:line="240" w:lineRule="auto"/>
        <w:jc w:val="both"/>
        <w:rPr>
          <w:rFonts w:ascii="Times New Roman" w:hAnsi="Times New Roman" w:cs="Times New Roman"/>
          <w:sz w:val="24"/>
          <w:szCs w:val="24"/>
        </w:rPr>
      </w:pPr>
    </w:p>
    <w:p w14:paraId="2FE6D71F"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45D796A7" w14:textId="77777777" w:rsidR="005309CD" w:rsidRPr="00C902C8" w:rsidRDefault="005309CD" w:rsidP="005309CD">
      <w:pPr>
        <w:spacing w:after="0" w:line="240" w:lineRule="auto"/>
        <w:jc w:val="both"/>
        <w:rPr>
          <w:rFonts w:ascii="Times New Roman" w:hAnsi="Times New Roman" w:cs="Times New Roman"/>
          <w:sz w:val="24"/>
          <w:szCs w:val="24"/>
        </w:rPr>
      </w:pPr>
    </w:p>
    <w:p w14:paraId="7ABB6F1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03A0B652" w14:textId="77777777" w:rsidR="005309CD" w:rsidRPr="00C902C8" w:rsidRDefault="005309CD" w:rsidP="005309CD">
      <w:pPr>
        <w:spacing w:after="0" w:line="240" w:lineRule="auto"/>
        <w:jc w:val="both"/>
        <w:rPr>
          <w:rFonts w:ascii="Times New Roman" w:hAnsi="Times New Roman" w:cs="Times New Roman"/>
          <w:sz w:val="24"/>
          <w:szCs w:val="24"/>
        </w:rPr>
      </w:pPr>
    </w:p>
    <w:p w14:paraId="477F24DB"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Quarter ended March 31, 2020 – not less than 5 per cent</w:t>
      </w:r>
    </w:p>
    <w:p w14:paraId="73B5C0D2" w14:textId="77777777" w:rsidR="005309CD" w:rsidRPr="00C902C8" w:rsidRDefault="005309CD" w:rsidP="005309CD">
      <w:pPr>
        <w:spacing w:after="0" w:line="240" w:lineRule="auto"/>
        <w:jc w:val="both"/>
        <w:rPr>
          <w:rFonts w:ascii="Times New Roman" w:hAnsi="Times New Roman" w:cs="Times New Roman"/>
          <w:sz w:val="24"/>
          <w:szCs w:val="24"/>
        </w:rPr>
      </w:pPr>
    </w:p>
    <w:p w14:paraId="1EB31B4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5829FDF5" w14:textId="77777777" w:rsidR="005309CD" w:rsidRPr="00C902C8" w:rsidRDefault="005309CD" w:rsidP="005309CD">
      <w:pPr>
        <w:spacing w:after="0" w:line="240" w:lineRule="auto"/>
        <w:jc w:val="both"/>
        <w:rPr>
          <w:rFonts w:ascii="Times New Roman" w:hAnsi="Times New Roman" w:cs="Times New Roman"/>
          <w:sz w:val="24"/>
          <w:szCs w:val="24"/>
        </w:rPr>
      </w:pPr>
    </w:p>
    <w:p w14:paraId="5E007C5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53AE00DF" w14:textId="77777777" w:rsidR="005309CD" w:rsidRPr="00C902C8" w:rsidRDefault="005309CD" w:rsidP="005309CD">
      <w:pPr>
        <w:spacing w:after="0" w:line="240" w:lineRule="auto"/>
        <w:jc w:val="both"/>
        <w:rPr>
          <w:rFonts w:ascii="Times New Roman" w:hAnsi="Times New Roman" w:cs="Times New Roman"/>
          <w:sz w:val="24"/>
          <w:szCs w:val="24"/>
        </w:rPr>
      </w:pPr>
    </w:p>
    <w:p w14:paraId="556455D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053EB384" w14:textId="77777777" w:rsidR="005309CD" w:rsidRPr="00C902C8" w:rsidRDefault="005309CD" w:rsidP="005309CD">
      <w:pPr>
        <w:spacing w:after="0" w:line="240" w:lineRule="auto"/>
        <w:jc w:val="both"/>
        <w:rPr>
          <w:rFonts w:ascii="Times New Roman" w:hAnsi="Times New Roman" w:cs="Times New Roman"/>
          <w:sz w:val="24"/>
          <w:szCs w:val="24"/>
        </w:rPr>
      </w:pPr>
    </w:p>
    <w:p w14:paraId="5179733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3B4601E3" w14:textId="77777777" w:rsidR="005309CD" w:rsidRPr="00C902C8" w:rsidRDefault="005309CD" w:rsidP="005309CD">
      <w:pPr>
        <w:spacing w:after="0" w:line="240" w:lineRule="auto"/>
        <w:jc w:val="both"/>
        <w:rPr>
          <w:rFonts w:ascii="Times New Roman" w:hAnsi="Times New Roman" w:cs="Times New Roman"/>
          <w:sz w:val="24"/>
          <w:szCs w:val="24"/>
        </w:rPr>
      </w:pPr>
    </w:p>
    <w:p w14:paraId="07C33371"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66991E96" w14:textId="77777777" w:rsidR="005309CD" w:rsidRPr="00C902C8" w:rsidRDefault="005309CD" w:rsidP="005309CD">
      <w:pPr>
        <w:spacing w:after="0" w:line="240" w:lineRule="auto"/>
        <w:jc w:val="both"/>
        <w:rPr>
          <w:rFonts w:ascii="Times New Roman" w:hAnsi="Times New Roman" w:cs="Times New Roman"/>
          <w:sz w:val="24"/>
          <w:szCs w:val="24"/>
        </w:rPr>
      </w:pPr>
    </w:p>
    <w:p w14:paraId="1B37449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324F6ED6" w14:textId="77777777" w:rsidR="005309CD" w:rsidRPr="00C902C8" w:rsidRDefault="005309CD" w:rsidP="005309CD">
      <w:pPr>
        <w:spacing w:after="0" w:line="240" w:lineRule="auto"/>
        <w:jc w:val="both"/>
        <w:rPr>
          <w:rFonts w:ascii="Times New Roman" w:hAnsi="Times New Roman" w:cs="Times New Roman"/>
          <w:sz w:val="24"/>
          <w:szCs w:val="24"/>
        </w:rPr>
      </w:pPr>
    </w:p>
    <w:p w14:paraId="2C5BC5A2"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57B9B30A" w14:textId="77777777" w:rsidR="005309CD" w:rsidRPr="00C902C8" w:rsidRDefault="005309CD" w:rsidP="005309CD">
      <w:pPr>
        <w:spacing w:after="0" w:line="240" w:lineRule="auto"/>
        <w:jc w:val="both"/>
        <w:rPr>
          <w:rFonts w:ascii="Times New Roman" w:hAnsi="Times New Roman" w:cs="Times New Roman"/>
          <w:sz w:val="24"/>
          <w:szCs w:val="24"/>
        </w:rPr>
      </w:pPr>
    </w:p>
    <w:p w14:paraId="0A1662A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Respective amounts in SMA/overdue categories, where the moratorium/deferment was extended, in terms of paragraph 2 and 3;</w:t>
      </w:r>
    </w:p>
    <w:p w14:paraId="17D32FE2" w14:textId="77777777" w:rsidR="005309CD" w:rsidRPr="00C902C8" w:rsidRDefault="005309CD" w:rsidP="005309CD">
      <w:pPr>
        <w:spacing w:after="0" w:line="240" w:lineRule="auto"/>
        <w:jc w:val="both"/>
        <w:rPr>
          <w:rFonts w:ascii="Times New Roman" w:hAnsi="Times New Roman" w:cs="Times New Roman"/>
          <w:sz w:val="24"/>
          <w:szCs w:val="24"/>
        </w:rPr>
      </w:pPr>
    </w:p>
    <w:p w14:paraId="1BE09FB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Respective amount where asset classification benefits is extended.</w:t>
      </w:r>
    </w:p>
    <w:p w14:paraId="135BBBD9" w14:textId="77777777" w:rsidR="005309CD" w:rsidRPr="00C902C8" w:rsidRDefault="005309CD" w:rsidP="005309CD">
      <w:pPr>
        <w:spacing w:after="0" w:line="240" w:lineRule="auto"/>
        <w:jc w:val="both"/>
        <w:rPr>
          <w:rFonts w:ascii="Times New Roman" w:hAnsi="Times New Roman" w:cs="Times New Roman"/>
          <w:sz w:val="24"/>
          <w:szCs w:val="24"/>
        </w:rPr>
      </w:pPr>
    </w:p>
    <w:p w14:paraId="4142262F"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Provisions made during the Q4FY2020 and Q1FY2021 in terms of paragraph 5;</w:t>
      </w:r>
    </w:p>
    <w:p w14:paraId="21BFB550" w14:textId="77777777" w:rsidR="005309CD" w:rsidRPr="00C902C8" w:rsidRDefault="005309CD" w:rsidP="005309CD">
      <w:pPr>
        <w:spacing w:after="0" w:line="240" w:lineRule="auto"/>
        <w:jc w:val="both"/>
        <w:rPr>
          <w:rFonts w:ascii="Times New Roman" w:hAnsi="Times New Roman" w:cs="Times New Roman"/>
          <w:sz w:val="24"/>
          <w:szCs w:val="24"/>
        </w:rPr>
      </w:pPr>
    </w:p>
    <w:p w14:paraId="529B888A"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3"/>
    <w:p w14:paraId="33D2051A"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1B1A90A9" w14:textId="77777777" w:rsidR="005309CD" w:rsidRDefault="005309CD" w:rsidP="005309CD">
      <w:pPr>
        <w:spacing w:after="0" w:line="240" w:lineRule="auto"/>
        <w:jc w:val="both"/>
        <w:rPr>
          <w:rFonts w:ascii="Times New Roman" w:hAnsi="Times New Roman" w:cs="Times New Roman"/>
          <w:b/>
          <w:bCs/>
          <w:sz w:val="24"/>
          <w:szCs w:val="24"/>
        </w:rPr>
      </w:pPr>
    </w:p>
    <w:p w14:paraId="49A7CA09" w14:textId="77777777" w:rsidR="005309CD" w:rsidRDefault="005309CD" w:rsidP="005309CD">
      <w:pPr>
        <w:spacing w:after="0" w:line="240" w:lineRule="auto"/>
        <w:jc w:val="both"/>
        <w:rPr>
          <w:rFonts w:ascii="Times New Roman" w:hAnsi="Times New Roman" w:cs="Times New Roman"/>
          <w:b/>
          <w:bCs/>
          <w:sz w:val="24"/>
          <w:szCs w:val="24"/>
        </w:rPr>
      </w:pPr>
      <w:bookmarkStart w:id="4" w:name="_Hlk43631915"/>
      <w:r w:rsidRPr="00C902C8">
        <w:rPr>
          <w:rFonts w:ascii="Times New Roman" w:hAnsi="Times New Roman" w:cs="Times New Roman"/>
          <w:b/>
          <w:bCs/>
          <w:sz w:val="24"/>
          <w:szCs w:val="24"/>
        </w:rPr>
        <w:t xml:space="preserve">COVID-19 – Regulatory Package </w:t>
      </w:r>
    </w:p>
    <w:p w14:paraId="44FE9F4C" w14:textId="77777777" w:rsidR="005309CD" w:rsidRPr="00C902C8" w:rsidRDefault="005309CD" w:rsidP="005309CD">
      <w:pPr>
        <w:spacing w:after="0" w:line="240" w:lineRule="auto"/>
        <w:jc w:val="both"/>
        <w:rPr>
          <w:rFonts w:ascii="Times New Roman" w:hAnsi="Times New Roman" w:cs="Times New Roman"/>
          <w:b/>
          <w:bCs/>
          <w:sz w:val="24"/>
          <w:szCs w:val="24"/>
        </w:rPr>
      </w:pPr>
    </w:p>
    <w:p w14:paraId="7732134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DOR.No.BP.BC.71/21.04.048/2019-20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57198CFD" w14:textId="77777777" w:rsidR="005309CD" w:rsidRPr="00C902C8" w:rsidRDefault="005309CD" w:rsidP="005309CD">
      <w:pPr>
        <w:spacing w:after="0" w:line="240" w:lineRule="auto"/>
        <w:jc w:val="both"/>
        <w:rPr>
          <w:rFonts w:ascii="Times New Roman" w:hAnsi="Times New Roman" w:cs="Times New Roman"/>
          <w:sz w:val="24"/>
          <w:szCs w:val="24"/>
        </w:rPr>
      </w:pPr>
    </w:p>
    <w:p w14:paraId="0A42A0CD"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391F989D" w14:textId="77777777" w:rsidR="005309CD" w:rsidRPr="00C902C8" w:rsidRDefault="005309CD" w:rsidP="005309CD">
      <w:pPr>
        <w:spacing w:after="0" w:line="240" w:lineRule="auto"/>
        <w:jc w:val="both"/>
        <w:rPr>
          <w:rFonts w:ascii="Times New Roman" w:hAnsi="Times New Roman" w:cs="Times New Roman"/>
          <w:sz w:val="24"/>
          <w:szCs w:val="24"/>
        </w:rPr>
      </w:pPr>
    </w:p>
    <w:p w14:paraId="0C2E8519"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6FB4BD30" w14:textId="77777777" w:rsidR="005309CD" w:rsidRPr="00C902C8" w:rsidRDefault="005309CD" w:rsidP="005309CD">
      <w:pPr>
        <w:spacing w:after="0" w:line="240" w:lineRule="auto"/>
        <w:jc w:val="both"/>
        <w:rPr>
          <w:rFonts w:ascii="Times New Roman" w:hAnsi="Times New Roman" w:cs="Times New Roman"/>
          <w:sz w:val="24"/>
          <w:szCs w:val="24"/>
        </w:rPr>
      </w:pPr>
    </w:p>
    <w:p w14:paraId="03CAC19E"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Rescheduling of Payments – Term Loans and Working Capital Facilities</w:t>
      </w:r>
    </w:p>
    <w:p w14:paraId="14728286" w14:textId="77777777" w:rsidR="005309CD" w:rsidRPr="00C902C8" w:rsidRDefault="005309CD" w:rsidP="005309CD">
      <w:pPr>
        <w:spacing w:after="0" w:line="240" w:lineRule="auto"/>
        <w:jc w:val="both"/>
        <w:rPr>
          <w:rFonts w:ascii="Times New Roman" w:hAnsi="Times New Roman" w:cs="Times New Roman"/>
          <w:sz w:val="24"/>
          <w:szCs w:val="24"/>
        </w:rPr>
      </w:pPr>
    </w:p>
    <w:p w14:paraId="0806040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69D566F8" w14:textId="77777777" w:rsidR="005309CD" w:rsidRPr="00C902C8" w:rsidRDefault="005309CD" w:rsidP="005309CD">
      <w:pPr>
        <w:spacing w:after="0" w:line="240" w:lineRule="auto"/>
        <w:jc w:val="both"/>
        <w:rPr>
          <w:rFonts w:ascii="Times New Roman" w:hAnsi="Times New Roman" w:cs="Times New Roman"/>
          <w:sz w:val="24"/>
          <w:szCs w:val="24"/>
        </w:rPr>
      </w:pPr>
    </w:p>
    <w:p w14:paraId="3ADC1D8C"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29665B74" w14:textId="77777777" w:rsidR="005309CD" w:rsidRPr="00C902C8" w:rsidRDefault="005309CD" w:rsidP="005309CD">
      <w:pPr>
        <w:spacing w:after="0" w:line="240" w:lineRule="auto"/>
        <w:jc w:val="both"/>
        <w:rPr>
          <w:rFonts w:ascii="Times New Roman" w:hAnsi="Times New Roman" w:cs="Times New Roman"/>
          <w:sz w:val="24"/>
          <w:szCs w:val="24"/>
        </w:rPr>
      </w:pPr>
    </w:p>
    <w:p w14:paraId="56CF3194"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65ADDCB2" w14:textId="77777777" w:rsidR="005309CD" w:rsidRPr="00C902C8" w:rsidRDefault="005309CD" w:rsidP="005309CD">
      <w:pPr>
        <w:spacing w:after="0" w:line="240" w:lineRule="auto"/>
        <w:jc w:val="both"/>
        <w:rPr>
          <w:rFonts w:ascii="Times New Roman" w:hAnsi="Times New Roman" w:cs="Times New Roman"/>
          <w:sz w:val="24"/>
          <w:szCs w:val="24"/>
        </w:rPr>
      </w:pPr>
    </w:p>
    <w:p w14:paraId="59F88203"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2DA095C4" w14:textId="77777777" w:rsidR="005309CD" w:rsidRPr="00C902C8" w:rsidRDefault="005309CD" w:rsidP="005309CD">
      <w:pPr>
        <w:spacing w:after="0" w:line="240" w:lineRule="auto"/>
        <w:jc w:val="both"/>
        <w:rPr>
          <w:rFonts w:ascii="Times New Roman" w:hAnsi="Times New Roman" w:cs="Times New Roman"/>
          <w:sz w:val="24"/>
          <w:szCs w:val="24"/>
        </w:rPr>
      </w:pPr>
    </w:p>
    <w:p w14:paraId="049E508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48841A18" w14:textId="77777777" w:rsidR="005309CD" w:rsidRPr="00C902C8" w:rsidRDefault="005309CD" w:rsidP="005309CD">
      <w:pPr>
        <w:spacing w:after="0" w:line="240" w:lineRule="auto"/>
        <w:jc w:val="both"/>
        <w:rPr>
          <w:rFonts w:ascii="Times New Roman" w:hAnsi="Times New Roman" w:cs="Times New Roman"/>
          <w:sz w:val="24"/>
          <w:szCs w:val="24"/>
        </w:rPr>
      </w:pPr>
    </w:p>
    <w:p w14:paraId="0EE9D666"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(ii) review the working capital sanctioned limits upto March 31, 2021, based on a reassessment of the working capital cycle.</w:t>
      </w:r>
    </w:p>
    <w:p w14:paraId="3BD2CC10" w14:textId="77777777" w:rsidR="005309CD" w:rsidRPr="00C902C8" w:rsidRDefault="005309CD" w:rsidP="005309CD">
      <w:pPr>
        <w:spacing w:after="0" w:line="240" w:lineRule="auto"/>
        <w:jc w:val="both"/>
        <w:rPr>
          <w:rFonts w:ascii="Times New Roman" w:hAnsi="Times New Roman" w:cs="Times New Roman"/>
          <w:sz w:val="24"/>
          <w:szCs w:val="24"/>
        </w:rPr>
      </w:pPr>
    </w:p>
    <w:p w14:paraId="20EB66D1"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01D43413" w14:textId="77777777" w:rsidR="005309CD" w:rsidRPr="00C902C8" w:rsidRDefault="005309CD" w:rsidP="005309CD">
      <w:pPr>
        <w:spacing w:after="0" w:line="240" w:lineRule="auto"/>
        <w:jc w:val="both"/>
        <w:rPr>
          <w:rFonts w:ascii="Times New Roman" w:hAnsi="Times New Roman" w:cs="Times New Roman"/>
          <w:sz w:val="24"/>
          <w:szCs w:val="24"/>
        </w:rPr>
      </w:pPr>
    </w:p>
    <w:p w14:paraId="44DE6FB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24702C14" w14:textId="77777777" w:rsidR="005309CD" w:rsidRPr="00C902C8" w:rsidRDefault="005309CD" w:rsidP="005309CD">
      <w:pPr>
        <w:spacing w:after="0" w:line="240" w:lineRule="auto"/>
        <w:jc w:val="both"/>
        <w:rPr>
          <w:rFonts w:ascii="Times New Roman" w:hAnsi="Times New Roman" w:cs="Times New Roman"/>
          <w:sz w:val="24"/>
          <w:szCs w:val="24"/>
        </w:rPr>
      </w:pPr>
    </w:p>
    <w:p w14:paraId="7E57C404" w14:textId="77777777" w:rsidR="005309CD" w:rsidRPr="00C902C8" w:rsidRDefault="005309CD" w:rsidP="005309C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0807DBF8" w14:textId="77777777" w:rsidR="005309CD" w:rsidRPr="00C902C8" w:rsidRDefault="005309CD" w:rsidP="005309CD">
      <w:pPr>
        <w:spacing w:after="0" w:line="240" w:lineRule="auto"/>
        <w:jc w:val="both"/>
        <w:rPr>
          <w:rFonts w:ascii="Times New Roman" w:hAnsi="Times New Roman" w:cs="Times New Roman"/>
          <w:sz w:val="24"/>
          <w:szCs w:val="24"/>
        </w:rPr>
      </w:pPr>
    </w:p>
    <w:p w14:paraId="308E7F27"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65B0CEA3" w14:textId="77777777" w:rsidR="005309CD" w:rsidRPr="00C902C8" w:rsidRDefault="005309CD" w:rsidP="005309CD">
      <w:pPr>
        <w:spacing w:after="0" w:line="240" w:lineRule="auto"/>
        <w:jc w:val="both"/>
        <w:rPr>
          <w:rFonts w:ascii="Times New Roman" w:hAnsi="Times New Roman" w:cs="Times New Roman"/>
          <w:sz w:val="24"/>
          <w:szCs w:val="24"/>
        </w:rPr>
      </w:pPr>
    </w:p>
    <w:p w14:paraId="4AF42A64"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140B1CBE" w14:textId="77777777" w:rsidR="005309CD" w:rsidRPr="00C902C8" w:rsidRDefault="005309CD" w:rsidP="005309CD">
      <w:pPr>
        <w:spacing w:after="0" w:line="240" w:lineRule="auto"/>
        <w:jc w:val="both"/>
        <w:rPr>
          <w:rFonts w:ascii="Times New Roman" w:hAnsi="Times New Roman" w:cs="Times New Roman"/>
          <w:sz w:val="24"/>
          <w:szCs w:val="24"/>
        </w:rPr>
      </w:pPr>
    </w:p>
    <w:p w14:paraId="095A5368"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693E80F7" w14:textId="77777777" w:rsidR="005309CD" w:rsidRPr="00C902C8" w:rsidRDefault="005309CD" w:rsidP="005309CD">
      <w:pPr>
        <w:spacing w:after="0" w:line="240" w:lineRule="auto"/>
        <w:jc w:val="both"/>
        <w:rPr>
          <w:rFonts w:ascii="Times New Roman" w:hAnsi="Times New Roman" w:cs="Times New Roman"/>
          <w:sz w:val="24"/>
          <w:szCs w:val="24"/>
        </w:rPr>
      </w:pPr>
    </w:p>
    <w:p w14:paraId="1DE668D0" w14:textId="77777777" w:rsidR="005309CD" w:rsidRPr="00C902C8" w:rsidRDefault="005309CD" w:rsidP="005309C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bookmarkEnd w:id="4"/>
    <w:p w14:paraId="2B4FA850" w14:textId="77777777" w:rsidR="005309CD" w:rsidRPr="00C902C8" w:rsidRDefault="005309CD" w:rsidP="005309CD">
      <w:pPr>
        <w:pBdr>
          <w:bottom w:val="single" w:sz="12" w:space="1" w:color="auto"/>
        </w:pBdr>
        <w:spacing w:after="0" w:line="240" w:lineRule="auto"/>
        <w:jc w:val="both"/>
        <w:rPr>
          <w:rFonts w:ascii="Times New Roman" w:hAnsi="Times New Roman" w:cs="Times New Roman"/>
          <w:sz w:val="24"/>
          <w:szCs w:val="24"/>
        </w:rPr>
      </w:pPr>
    </w:p>
    <w:p w14:paraId="29F8DA1C" w14:textId="77777777" w:rsidR="005309CD" w:rsidRDefault="005309CD" w:rsidP="005309CD">
      <w:pPr>
        <w:spacing w:after="0" w:line="240" w:lineRule="auto"/>
        <w:jc w:val="both"/>
        <w:rPr>
          <w:rFonts w:ascii="Times New Roman" w:hAnsi="Times New Roman" w:cs="Times New Roman"/>
          <w:b/>
          <w:bCs/>
          <w:sz w:val="24"/>
          <w:szCs w:val="24"/>
        </w:rPr>
      </w:pPr>
      <w:bookmarkStart w:id="5" w:name="_Hlk43631940"/>
      <w:bookmarkEnd w:id="0"/>
      <w:bookmarkEnd w:id="5"/>
    </w:p>
    <w:sectPr w:rsidR="005309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87AF0" w14:textId="77777777" w:rsidR="006D031F" w:rsidRDefault="006D031F" w:rsidP="00064158">
      <w:pPr>
        <w:spacing w:after="0" w:line="240" w:lineRule="auto"/>
      </w:pPr>
      <w:r>
        <w:separator/>
      </w:r>
    </w:p>
  </w:endnote>
  <w:endnote w:type="continuationSeparator" w:id="0">
    <w:p w14:paraId="7C0F0242" w14:textId="77777777" w:rsidR="006D031F" w:rsidRDefault="006D031F"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5309CD" w:rsidRDefault="00530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5309CD" w:rsidRDefault="0053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B1BB" w14:textId="77777777" w:rsidR="006D031F" w:rsidRDefault="006D031F" w:rsidP="00064158">
      <w:pPr>
        <w:spacing w:after="0" w:line="240" w:lineRule="auto"/>
      </w:pPr>
      <w:r>
        <w:separator/>
      </w:r>
    </w:p>
  </w:footnote>
  <w:footnote w:type="continuationSeparator" w:id="0">
    <w:p w14:paraId="37E1AEAA" w14:textId="77777777" w:rsidR="006D031F" w:rsidRDefault="006D031F"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576BC"/>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061F2"/>
    <w:rsid w:val="002321B6"/>
    <w:rsid w:val="00245F0D"/>
    <w:rsid w:val="00257BAE"/>
    <w:rsid w:val="002749A9"/>
    <w:rsid w:val="00286398"/>
    <w:rsid w:val="0031109D"/>
    <w:rsid w:val="00314531"/>
    <w:rsid w:val="00317E1B"/>
    <w:rsid w:val="003405AC"/>
    <w:rsid w:val="00345B73"/>
    <w:rsid w:val="00352E06"/>
    <w:rsid w:val="00374F45"/>
    <w:rsid w:val="003B251E"/>
    <w:rsid w:val="003E4425"/>
    <w:rsid w:val="00410AB0"/>
    <w:rsid w:val="00413694"/>
    <w:rsid w:val="00497228"/>
    <w:rsid w:val="004A1131"/>
    <w:rsid w:val="004B3BE8"/>
    <w:rsid w:val="004B7FFD"/>
    <w:rsid w:val="004E6570"/>
    <w:rsid w:val="004F09B3"/>
    <w:rsid w:val="005309CD"/>
    <w:rsid w:val="005A7BE6"/>
    <w:rsid w:val="005C1CFE"/>
    <w:rsid w:val="00604774"/>
    <w:rsid w:val="00605FDB"/>
    <w:rsid w:val="00624A58"/>
    <w:rsid w:val="00640832"/>
    <w:rsid w:val="00651F60"/>
    <w:rsid w:val="006647F7"/>
    <w:rsid w:val="0066541C"/>
    <w:rsid w:val="006746FD"/>
    <w:rsid w:val="0069410D"/>
    <w:rsid w:val="006D031F"/>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60548"/>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D685D"/>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334E7"/>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10564</Words>
  <Characters>60215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2020-07-01T09:02:00Z</dcterms:created>
  <dcterms:modified xsi:type="dcterms:W3CDTF">2020-07-01T16:10:00Z</dcterms:modified>
</cp:coreProperties>
</file>